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27064" w14:textId="0C6BB852" w:rsidR="003918A6" w:rsidRPr="00CF24D0" w:rsidRDefault="003918A6" w:rsidP="003918A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hAnsi="Arial" w:cs="Arial"/>
          <w:b/>
          <w:bCs/>
          <w:sz w:val="28"/>
        </w:rPr>
        <w:t>3GPP TSG RAN WG1 #106-e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CF24D0" w:rsidRPr="00CF24D0">
        <w:rPr>
          <w:rFonts w:ascii="Arial" w:hAnsi="Arial" w:cs="Arial"/>
          <w:b/>
          <w:bCs/>
          <w:sz w:val="28"/>
        </w:rPr>
        <w:t>R1-2106763</w:t>
      </w:r>
    </w:p>
    <w:p w14:paraId="060E71A4" w14:textId="77777777" w:rsidR="003918A6" w:rsidRDefault="003918A6" w:rsidP="003918A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4F494962" w14:textId="77777777" w:rsidR="00D64908" w:rsidRPr="00CC27F5" w:rsidRDefault="00D64908" w:rsidP="00D64908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49911AA7" w14:textId="28DFCFBD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3918A6">
        <w:rPr>
          <w:rFonts w:ascii="Arial" w:hAnsi="Arial"/>
          <w:sz w:val="24"/>
        </w:rPr>
        <w:t>8.1</w:t>
      </w:r>
      <w:r w:rsidR="001B40E7">
        <w:rPr>
          <w:rFonts w:ascii="Arial" w:hAnsi="Arial"/>
          <w:sz w:val="24"/>
        </w:rPr>
        <w:t>6</w:t>
      </w:r>
      <w:r w:rsidR="00321D2F">
        <w:rPr>
          <w:rFonts w:ascii="Arial" w:hAnsi="Arial"/>
          <w:sz w:val="24"/>
        </w:rPr>
        <w:t>.1</w:t>
      </w:r>
    </w:p>
    <w:p w14:paraId="5EB861A4" w14:textId="4B137DFF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5D60C4" w:rsidRPr="000A64D8">
        <w:rPr>
          <w:rFonts w:ascii="Arial" w:hAnsi="Arial"/>
          <w:sz w:val="24"/>
        </w:rPr>
        <w:t>Incorporated</w:t>
      </w:r>
      <w:r w:rsidR="00142658">
        <w:rPr>
          <w:rFonts w:ascii="Arial" w:hAnsi="Arial"/>
          <w:sz w:val="24"/>
        </w:rPr>
        <w:t>,</w:t>
      </w:r>
      <w:r w:rsidR="00CF24D0">
        <w:rPr>
          <w:rFonts w:ascii="Arial" w:hAnsi="Arial"/>
          <w:sz w:val="24"/>
        </w:rPr>
        <w:t xml:space="preserve"> SWR</w:t>
      </w:r>
      <w:r w:rsidR="00815232">
        <w:rPr>
          <w:rFonts w:ascii="Arial" w:hAnsi="Arial"/>
          <w:sz w:val="24"/>
        </w:rPr>
        <w:t>, EBU</w:t>
      </w:r>
    </w:p>
    <w:p w14:paraId="6286BCC6" w14:textId="2944F627" w:rsidR="00D64908" w:rsidRPr="00DF4042" w:rsidRDefault="00D64908" w:rsidP="00D64908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142658" w:rsidRPr="00142658">
        <w:rPr>
          <w:rFonts w:ascii="Arial" w:hAnsi="Arial"/>
          <w:sz w:val="24"/>
        </w:rPr>
        <w:t>PMCH allocation of 6/7/8MHz</w:t>
      </w:r>
    </w:p>
    <w:p w14:paraId="6604DCDB" w14:textId="79E1465C" w:rsidR="00D64908" w:rsidRDefault="00D64908" w:rsidP="00D64908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="00142658">
        <w:rPr>
          <w:rFonts w:ascii="Arial" w:hAnsi="Arial"/>
          <w:sz w:val="24"/>
        </w:rPr>
        <w:t>Discussion / Decision</w:t>
      </w:r>
    </w:p>
    <w:p w14:paraId="6399B119" w14:textId="77777777" w:rsidR="003B6EE7" w:rsidRPr="00CC27F5" w:rsidRDefault="003B6EE7" w:rsidP="00D64908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</w:p>
    <w:p w14:paraId="1A2BE95F" w14:textId="77777777" w:rsidR="00D64908" w:rsidRDefault="003B6EE7" w:rsidP="00D64908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Introduction</w:t>
      </w:r>
    </w:p>
    <w:p w14:paraId="389592AA" w14:textId="11A488B8" w:rsidR="00630D0F" w:rsidRDefault="00630D0F" w:rsidP="00630D0F">
      <w:r>
        <w:t>In RAN#</w:t>
      </w:r>
      <w:r w:rsidR="003918A6">
        <w:t>92-e</w:t>
      </w:r>
      <w:r>
        <w:t xml:space="preserve">, a new work item on </w:t>
      </w:r>
      <w:r w:rsidR="003918A6" w:rsidRPr="00C449FB">
        <w:rPr>
          <w:i/>
          <w:iCs/>
        </w:rPr>
        <w:t>New bands and bandwidth allocation for LTE based 5G terrestrial broadcast</w:t>
      </w:r>
      <w:r w:rsidR="003918A6" w:rsidRPr="003918A6">
        <w:t xml:space="preserve"> </w:t>
      </w:r>
      <w:r>
        <w:t xml:space="preserve">was approved </w:t>
      </w:r>
      <w:r w:rsidR="00142658">
        <w:t>[1]</w:t>
      </w:r>
      <w:r>
        <w:t xml:space="preserve"> with the following objective: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0D0F" w14:paraId="7A9A3367" w14:textId="77777777" w:rsidTr="00630D0F">
        <w:tc>
          <w:tcPr>
            <w:tcW w:w="9629" w:type="dxa"/>
          </w:tcPr>
          <w:p w14:paraId="41841DD2" w14:textId="77777777" w:rsidR="003918A6" w:rsidRDefault="003918A6" w:rsidP="003918A6">
            <w:pPr>
              <w:numPr>
                <w:ilvl w:val="0"/>
                <w:numId w:val="28"/>
              </w:numPr>
              <w:spacing w:after="0"/>
              <w:rPr>
                <w:bCs/>
                <w:lang w:val="en-US"/>
              </w:rPr>
            </w:pPr>
            <w:r w:rsidRPr="00A04D82">
              <w:rPr>
                <w:bCs/>
                <w:lang w:val="en-US"/>
              </w:rPr>
              <w:t>For MBMS-dedicated cells:</w:t>
            </w:r>
          </w:p>
          <w:p w14:paraId="0478CE78" w14:textId="77777777" w:rsidR="003918A6" w:rsidRDefault="003918A6" w:rsidP="003918A6">
            <w:pPr>
              <w:spacing w:after="0"/>
              <w:ind w:left="720"/>
              <w:rPr>
                <w:bCs/>
                <w:lang w:val="en-US"/>
              </w:rPr>
            </w:pPr>
          </w:p>
          <w:p w14:paraId="29958885" w14:textId="77777777" w:rsidR="003918A6" w:rsidRPr="00DD315C" w:rsidRDefault="003918A6" w:rsidP="003918A6">
            <w:pPr>
              <w:numPr>
                <w:ilvl w:val="1"/>
                <w:numId w:val="28"/>
              </w:numPr>
              <w:spacing w:after="0"/>
              <w:rPr>
                <w:bCs/>
                <w:lang w:val="en-US"/>
              </w:rPr>
            </w:pPr>
            <w:r w:rsidRPr="00A04D82">
              <w:rPr>
                <w:lang w:val="en-US"/>
              </w:rPr>
              <w:t>Specify a PMCH allocation of 6/7/8</w:t>
            </w:r>
            <w:r>
              <w:rPr>
                <w:lang w:val="en-US"/>
              </w:rPr>
              <w:t xml:space="preserve"> </w:t>
            </w:r>
            <w:r w:rsidRPr="00A04D82">
              <w:rPr>
                <w:lang w:val="en-US"/>
              </w:rPr>
              <w:t xml:space="preserve">MHz </w:t>
            </w:r>
            <w:r>
              <w:rPr>
                <w:lang w:val="en-US"/>
              </w:rPr>
              <w:t xml:space="preserve">and corresponding MBSFN reference signals </w:t>
            </w:r>
            <w:r w:rsidRPr="00A04D82">
              <w:rPr>
                <w:lang w:val="en-US"/>
              </w:rPr>
              <w:t>[RAN1]</w:t>
            </w:r>
            <w:r>
              <w:rPr>
                <w:lang w:val="en-US"/>
              </w:rPr>
              <w:t>.</w:t>
            </w:r>
          </w:p>
          <w:p w14:paraId="68A30F42" w14:textId="77777777" w:rsidR="003918A6" w:rsidRPr="00DD315C" w:rsidRDefault="003918A6" w:rsidP="003918A6">
            <w:pPr>
              <w:numPr>
                <w:ilvl w:val="2"/>
                <w:numId w:val="28"/>
              </w:numPr>
              <w:spacing w:after="0"/>
              <w:rPr>
                <w:bCs/>
                <w:lang w:val="en-US"/>
              </w:rPr>
            </w:pPr>
            <w:r>
              <w:rPr>
                <w:lang w:val="en-US"/>
              </w:rPr>
              <w:t>Specify corresponding signaling [RAN2, RAN3]</w:t>
            </w:r>
          </w:p>
          <w:p w14:paraId="4A74B6EB" w14:textId="58248163" w:rsidR="00630D0F" w:rsidRPr="003918A6" w:rsidRDefault="00630D0F" w:rsidP="00630D0F">
            <w:pPr>
              <w:spacing w:after="120"/>
              <w:contextualSpacing/>
              <w:rPr>
                <w:sz w:val="18"/>
                <w:lang w:val="en-US"/>
              </w:rPr>
            </w:pPr>
          </w:p>
        </w:tc>
      </w:tr>
    </w:tbl>
    <w:p w14:paraId="50A276B4" w14:textId="77777777" w:rsidR="00630D0F" w:rsidRDefault="00630D0F" w:rsidP="00630D0F"/>
    <w:p w14:paraId="1A88402C" w14:textId="2FF3219C" w:rsidR="0048347F" w:rsidRDefault="00142658" w:rsidP="003B6EE7">
      <w:r>
        <w:t>In this contribution, we present our initial views on the above objective. The presented framework is based on a previous submission to RAN plenary [2].</w:t>
      </w:r>
    </w:p>
    <w:p w14:paraId="7D0F41EC" w14:textId="47EBAAB7" w:rsidR="0048347F" w:rsidRDefault="0048347F" w:rsidP="003B6EE7"/>
    <w:p w14:paraId="38FA9CD5" w14:textId="4E85BD85" w:rsidR="003B6EE7" w:rsidRDefault="00142658" w:rsidP="003B6EE7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Proposed framework</w:t>
      </w:r>
    </w:p>
    <w:p w14:paraId="1237E47A" w14:textId="17F2367B" w:rsidR="0001213F" w:rsidRDefault="0001213F" w:rsidP="0001213F">
      <w:pPr>
        <w:pStyle w:val="ListParagraph"/>
        <w:ind w:left="0"/>
        <w:rPr>
          <w:lang w:val="en-US"/>
        </w:rPr>
      </w:pPr>
      <w:r>
        <w:rPr>
          <w:lang w:val="en-US"/>
        </w:rPr>
        <w:t>The proposed framework for supporting 6/7/8MHz bandwidth relies on modifying the bandwidth allocation for PMCH to allocate a larger number of PRBs than that indicated by the system bandwidth. This allows to keep a commonality in the initial acquisition of the system (PSS/SSS/PBCH/PDCCH/SIBs are acquired assuming 5MHz bandwidth).</w:t>
      </w:r>
    </w:p>
    <w:p w14:paraId="4220B9F1" w14:textId="0B0F19A9" w:rsidR="0001213F" w:rsidRDefault="0001213F" w:rsidP="0001213F">
      <w:pPr>
        <w:pStyle w:val="ListParagraph"/>
        <w:ind w:left="0"/>
        <w:rPr>
          <w:lang w:val="en-US"/>
        </w:rPr>
      </w:pPr>
    </w:p>
    <w:p w14:paraId="5D582F93" w14:textId="6ECB0A83" w:rsidR="0001213F" w:rsidRDefault="0001213F" w:rsidP="0001213F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Designing a new system bandwidth would also be possible, but it would require introducing new entries in MIB, a different PDCCH interleaving, different DCI formats for resource allocation, etc. </w:t>
      </w:r>
    </w:p>
    <w:p w14:paraId="0544CE3A" w14:textId="77777777" w:rsidR="0001213F" w:rsidRDefault="0001213F" w:rsidP="0001213F">
      <w:pPr>
        <w:rPr>
          <w:lang w:val="en-US"/>
        </w:rPr>
      </w:pPr>
      <w:r>
        <w:rPr>
          <w:lang w:val="en-US"/>
        </w:rPr>
        <w:t>In current TS 36.213, the resource allocation for PMCH is described as follows:</w:t>
      </w:r>
    </w:p>
    <w:p w14:paraId="3BA8397F" w14:textId="77777777" w:rsidR="0001213F" w:rsidRDefault="0001213F" w:rsidP="0001213F">
      <w:pPr>
        <w:rPr>
          <w:lang w:val="en-US"/>
        </w:rPr>
      </w:pPr>
      <w:r w:rsidRPr="00E402EB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F13D76B" wp14:editId="273BDE18">
                <wp:simplePos x="0" y="0"/>
                <wp:positionH relativeFrom="column">
                  <wp:posOffset>453390</wp:posOffset>
                </wp:positionH>
                <wp:positionV relativeFrom="paragraph">
                  <wp:posOffset>184785</wp:posOffset>
                </wp:positionV>
                <wp:extent cx="5281295" cy="1404620"/>
                <wp:effectExtent l="0" t="0" r="14605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12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FDEB83" w14:textId="77777777" w:rsidR="0001213F" w:rsidRPr="00E402EB" w:rsidRDefault="0001213F" w:rsidP="0001213F">
                            <w:pPr>
                              <w:keepNext/>
                              <w:keepLines/>
                              <w:spacing w:before="180"/>
                              <w:ind w:left="1134" w:hanging="1134"/>
                              <w:outlineLvl w:val="1"/>
                              <w:rPr>
                                <w:lang w:eastAsia="zh-CN"/>
                              </w:rPr>
                            </w:pPr>
                            <w:bookmarkStart w:id="2" w:name="_Toc415085533"/>
                            <w:r w:rsidRPr="00E402EB">
                              <w:rPr>
                                <w:rFonts w:ascii="Arial" w:hAnsi="Arial" w:hint="eastAsia"/>
                                <w:sz w:val="32"/>
                                <w:lang w:eastAsia="zh-CN"/>
                              </w:rPr>
                              <w:t>11.</w:t>
                            </w:r>
                            <w:r w:rsidRPr="00E402EB">
                              <w:rPr>
                                <w:rFonts w:ascii="Arial" w:hAnsi="Arial"/>
                                <w:sz w:val="32"/>
                                <w:lang w:eastAsia="en-GB"/>
                              </w:rPr>
                              <w:t>1</w:t>
                            </w:r>
                            <w:r w:rsidRPr="00E402EB">
                              <w:rPr>
                                <w:rFonts w:ascii="Arial" w:hAnsi="Arial"/>
                                <w:sz w:val="32"/>
                                <w:lang w:eastAsia="en-GB"/>
                              </w:rPr>
                              <w:tab/>
                              <w:t>UE</w:t>
                            </w:r>
                            <w:r w:rsidRPr="00E402EB">
                              <w:rPr>
                                <w:rFonts w:ascii="Arial" w:hAnsi="Arial" w:hint="eastAsia"/>
                                <w:sz w:val="32"/>
                                <w:lang w:eastAsia="en-GB"/>
                              </w:rPr>
                              <w:t xml:space="preserve"> procedure for </w:t>
                            </w:r>
                            <w:r w:rsidRPr="00E402EB">
                              <w:rPr>
                                <w:rFonts w:ascii="Arial" w:hAnsi="Arial"/>
                                <w:sz w:val="32"/>
                                <w:lang w:eastAsia="en-GB"/>
                              </w:rPr>
                              <w:t>receiving the PMCH</w:t>
                            </w:r>
                            <w:bookmarkEnd w:id="2"/>
                          </w:p>
                          <w:p w14:paraId="5240BC75" w14:textId="77777777" w:rsidR="0001213F" w:rsidRDefault="0001213F" w:rsidP="0001213F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>[…]</w:t>
                            </w:r>
                          </w:p>
                          <w:p w14:paraId="188AB35E" w14:textId="77777777" w:rsidR="0001213F" w:rsidRPr="00E402EB" w:rsidRDefault="0001213F" w:rsidP="0001213F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8B58AB">
                              <w:t xml:space="preserve">The UE shall then follow the procedure in Subclause 7.1.7.2.1 to determine the transport block size, assuming </w:t>
                            </w:r>
                            <w:r w:rsidRPr="00E402EB">
                              <w:rPr>
                                <w:noProof/>
                                <w:position w:val="-10"/>
                                <w:highlight w:val="yellow"/>
                              </w:rPr>
                              <w:drawing>
                                <wp:inline distT="0" distB="0" distL="0" distR="0" wp14:anchorId="25841EA5" wp14:editId="589860E7">
                                  <wp:extent cx="304800" cy="209550"/>
                                  <wp:effectExtent l="0" t="0" r="0" b="0"/>
                                  <wp:docPr id="2922" name="Picture 29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9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402EB">
                              <w:rPr>
                                <w:highlight w:val="yellow"/>
                              </w:rPr>
                              <w:t>is equal to</w:t>
                            </w:r>
                            <w:r w:rsidRPr="00E402EB">
                              <w:rPr>
                                <w:noProof/>
                                <w:position w:val="-10"/>
                                <w:highlight w:val="yellow"/>
                              </w:rPr>
                              <w:drawing>
                                <wp:inline distT="0" distB="0" distL="0" distR="0" wp14:anchorId="68CA6A43" wp14:editId="385B7F35">
                                  <wp:extent cx="276225" cy="209550"/>
                                  <wp:effectExtent l="0" t="0" r="0" b="0"/>
                                  <wp:docPr id="2923" name="Picture 29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92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225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402EB">
                              <w:rPr>
                                <w:highlight w:val="yellow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F13D76B"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margin-left:35.7pt;margin-top:14.55pt;width:415.8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">
                <v:textbox style="mso-fit-shape-to-text:t">
                  <w:txbxContent>
                    <w:p w14:paraId="32FDEB83" w14:textId="77777777" w:rsidR="0001213F" w:rsidRPr="00E402EB" w:rsidRDefault="0001213F" w:rsidP="0001213F">
                      <w:pPr>
                        <w:keepNext/>
                        <w:keepLines/>
                        <w:spacing w:before="180"/>
                        <w:ind w:left="1134" w:hanging="1134"/>
                        <w:outlineLvl w:val="1"/>
                        <w:rPr>
                          <w:lang w:eastAsia="zh-CN"/>
                        </w:rPr>
                      </w:pPr>
                      <w:bookmarkStart w:id="3" w:name="_Toc415085533"/>
                      <w:r w:rsidRPr="00E402EB">
                        <w:rPr>
                          <w:rFonts w:ascii="Arial" w:hAnsi="Arial" w:hint="eastAsia"/>
                          <w:sz w:val="32"/>
                          <w:lang w:eastAsia="zh-CN"/>
                        </w:rPr>
                        <w:t>11.</w:t>
                      </w:r>
                      <w:r w:rsidRPr="00E402EB">
                        <w:rPr>
                          <w:rFonts w:ascii="Arial" w:hAnsi="Arial"/>
                          <w:sz w:val="32"/>
                          <w:lang w:eastAsia="en-GB"/>
                        </w:rPr>
                        <w:t>1</w:t>
                      </w:r>
                      <w:r w:rsidRPr="00E402EB">
                        <w:rPr>
                          <w:rFonts w:ascii="Arial" w:hAnsi="Arial"/>
                          <w:sz w:val="32"/>
                          <w:lang w:eastAsia="en-GB"/>
                        </w:rPr>
                        <w:tab/>
                        <w:t>UE</w:t>
                      </w:r>
                      <w:r w:rsidRPr="00E402EB">
                        <w:rPr>
                          <w:rFonts w:ascii="Arial" w:hAnsi="Arial" w:hint="eastAsia"/>
                          <w:sz w:val="32"/>
                          <w:lang w:eastAsia="en-GB"/>
                        </w:rPr>
                        <w:t xml:space="preserve"> procedure for </w:t>
                      </w:r>
                      <w:r w:rsidRPr="00E402EB">
                        <w:rPr>
                          <w:rFonts w:ascii="Arial" w:hAnsi="Arial"/>
                          <w:sz w:val="32"/>
                          <w:lang w:eastAsia="en-GB"/>
                        </w:rPr>
                        <w:t>receiving the PMCH</w:t>
                      </w:r>
                      <w:bookmarkEnd w:id="3"/>
                    </w:p>
                    <w:p w14:paraId="5240BC75" w14:textId="77777777" w:rsidR="0001213F" w:rsidRDefault="0001213F" w:rsidP="0001213F">
                      <w:pPr>
                        <w:rPr>
                          <w:b/>
                          <w:bCs/>
                          <w:color w:val="FF0000"/>
                        </w:rPr>
                      </w:pPr>
                      <w:r>
                        <w:rPr>
                          <w:b/>
                          <w:bCs/>
                          <w:color w:val="FF0000"/>
                        </w:rPr>
                        <w:t>[…]</w:t>
                      </w:r>
                    </w:p>
                    <w:p w14:paraId="188AB35E" w14:textId="77777777" w:rsidR="0001213F" w:rsidRPr="00E402EB" w:rsidRDefault="0001213F" w:rsidP="0001213F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8B58AB">
                        <w:t xml:space="preserve">The UE shall then follow the procedure in Subclause 7.1.7.2.1 to determine the transport block size, assuming </w:t>
                      </w:r>
                      <w:r w:rsidRPr="00E402EB">
                        <w:rPr>
                          <w:noProof/>
                          <w:position w:val="-10"/>
                          <w:highlight w:val="yellow"/>
                        </w:rPr>
                        <w:drawing>
                          <wp:inline distT="0" distB="0" distL="0" distR="0" wp14:anchorId="25841EA5" wp14:editId="589860E7">
                            <wp:extent cx="304800" cy="209550"/>
                            <wp:effectExtent l="0" t="0" r="0" b="0"/>
                            <wp:docPr id="2922" name="Picture 29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9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402EB">
                        <w:rPr>
                          <w:highlight w:val="yellow"/>
                        </w:rPr>
                        <w:t>is equal to</w:t>
                      </w:r>
                      <w:r w:rsidRPr="00E402EB">
                        <w:rPr>
                          <w:noProof/>
                          <w:position w:val="-10"/>
                          <w:highlight w:val="yellow"/>
                        </w:rPr>
                        <w:drawing>
                          <wp:inline distT="0" distB="0" distL="0" distR="0" wp14:anchorId="68CA6A43" wp14:editId="385B7F35">
                            <wp:extent cx="276225" cy="209550"/>
                            <wp:effectExtent l="0" t="0" r="0" b="0"/>
                            <wp:docPr id="2923" name="Picture 29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92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6225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402EB">
                        <w:rPr>
                          <w:highlight w:val="yellow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FB2A058" w14:textId="77777777" w:rsidR="0001213F" w:rsidRDefault="0001213F" w:rsidP="0001213F">
      <w:pPr>
        <w:rPr>
          <w:lang w:val="en-US"/>
        </w:rPr>
      </w:pPr>
    </w:p>
    <w:p w14:paraId="42BE1654" w14:textId="77777777" w:rsidR="0001213F" w:rsidRDefault="0001213F" w:rsidP="0001213F">
      <w:pPr>
        <w:rPr>
          <w:lang w:val="en-US"/>
        </w:rPr>
      </w:pPr>
    </w:p>
    <w:p w14:paraId="116B5D80" w14:textId="77777777" w:rsidR="0001213F" w:rsidRDefault="0001213F" w:rsidP="0001213F">
      <w:pPr>
        <w:rPr>
          <w:lang w:val="en-US"/>
        </w:rPr>
      </w:pPr>
    </w:p>
    <w:p w14:paraId="5EEEA7D4" w14:textId="77777777" w:rsidR="0001213F" w:rsidRDefault="0001213F" w:rsidP="0001213F">
      <w:pPr>
        <w:rPr>
          <w:lang w:val="en-US"/>
        </w:rPr>
      </w:pPr>
    </w:p>
    <w:p w14:paraId="04A94FEE" w14:textId="77777777" w:rsidR="0001213F" w:rsidRDefault="0001213F" w:rsidP="0001213F">
      <w:pPr>
        <w:rPr>
          <w:lang w:val="en-US"/>
        </w:rPr>
      </w:pPr>
    </w:p>
    <w:p w14:paraId="6E6BFDC1" w14:textId="77777777" w:rsidR="0001213F" w:rsidRDefault="0001213F" w:rsidP="0001213F">
      <w:pPr>
        <w:rPr>
          <w:lang w:val="en-US"/>
        </w:rPr>
      </w:pPr>
    </w:p>
    <w:p w14:paraId="3FF2B9F8" w14:textId="77777777" w:rsidR="0001213F" w:rsidRDefault="0001213F" w:rsidP="0001213F">
      <w:pPr>
        <w:rPr>
          <w:lang w:val="en-US"/>
        </w:rPr>
      </w:pPr>
      <w:r>
        <w:rPr>
          <w:lang w:val="en-US"/>
        </w:rPr>
        <w:t>We propose to add a configuration parameter to determine the number of resource blocks to be received for PMCH. We propose the following procedure:</w:t>
      </w:r>
    </w:p>
    <w:p w14:paraId="5DD52573" w14:textId="77777777" w:rsidR="0001213F" w:rsidRPr="00862709" w:rsidRDefault="0001213F" w:rsidP="0001213F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 xml:space="preserve">The UE operates in a cell that indicates a system bandwidth of 5 MHz (i.e,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RB</m:t>
            </m:r>
          </m:sub>
          <m:sup>
            <m:r>
              <w:rPr>
                <w:rFonts w:ascii="Cambria Math" w:hAnsi="Cambria Math"/>
                <w:lang w:eastAsia="en-GB"/>
              </w:rPr>
              <m:t>DL</m:t>
            </m:r>
          </m:sup>
        </m:sSubSup>
        <m:r>
          <w:rPr>
            <w:rFonts w:ascii="Cambria Math" w:hAnsi="Cambria Math"/>
            <w:lang w:eastAsia="en-GB"/>
          </w:rPr>
          <m:t>=25</m:t>
        </m:r>
      </m:oMath>
      <w:r>
        <w:rPr>
          <w:lang w:eastAsia="en-GB"/>
        </w:rPr>
        <w:t xml:space="preserve"> )</w:t>
      </w:r>
    </w:p>
    <w:p w14:paraId="550A9C1F" w14:textId="7E5F44EA" w:rsidR="0001213F" w:rsidRDefault="0001213F" w:rsidP="0001213F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 w:eastAsia="en-GB"/>
        </w:rPr>
        <w:lastRenderedPageBreak/>
        <w:t>The UE is configured with a PMCH bandwidth that is larger than this system bandwidth. We propose to support the following values:</w:t>
      </w:r>
    </w:p>
    <w:p w14:paraId="131427F5" w14:textId="77777777" w:rsidR="0001213F" w:rsidRDefault="0001213F" w:rsidP="0001213F">
      <w:pPr>
        <w:pStyle w:val="ListParagraph"/>
        <w:numPr>
          <w:ilvl w:val="1"/>
          <w:numId w:val="29"/>
        </w:numPr>
        <w:rPr>
          <w:lang w:val="en-US"/>
        </w:rPr>
      </w:pPr>
      <w:r>
        <w:rPr>
          <w:lang w:val="en-US" w:eastAsia="en-GB"/>
        </w:rPr>
        <w:t xml:space="preserve">8MHz: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PRB</m:t>
            </m:r>
          </m:sub>
        </m:sSub>
        <m:r>
          <w:rPr>
            <w:rFonts w:ascii="Cambria Math" w:hAnsi="Cambria Math"/>
            <w:lang w:eastAsia="en-GB"/>
          </w:rPr>
          <m:t>=40</m:t>
        </m:r>
      </m:oMath>
    </w:p>
    <w:p w14:paraId="074D9B8D" w14:textId="77777777" w:rsidR="0001213F" w:rsidRDefault="0001213F" w:rsidP="0001213F">
      <w:pPr>
        <w:pStyle w:val="ListParagraph"/>
        <w:numPr>
          <w:ilvl w:val="1"/>
          <w:numId w:val="29"/>
        </w:numPr>
        <w:rPr>
          <w:lang w:val="en-US"/>
        </w:rPr>
      </w:pPr>
      <w:r>
        <w:rPr>
          <w:lang w:val="en-US" w:eastAsia="en-GB"/>
        </w:rPr>
        <w:t xml:space="preserve">7MHz: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PRB</m:t>
            </m:r>
          </m:sub>
        </m:sSub>
        <m:r>
          <w:rPr>
            <w:rFonts w:ascii="Cambria Math" w:hAnsi="Cambria Math"/>
            <w:lang w:eastAsia="en-GB"/>
          </w:rPr>
          <m:t>=35</m:t>
        </m:r>
      </m:oMath>
    </w:p>
    <w:p w14:paraId="475536E1" w14:textId="77777777" w:rsidR="0001213F" w:rsidRDefault="0001213F" w:rsidP="0001213F">
      <w:pPr>
        <w:pStyle w:val="ListParagraph"/>
        <w:numPr>
          <w:ilvl w:val="1"/>
          <w:numId w:val="29"/>
        </w:numPr>
        <w:rPr>
          <w:lang w:val="en-US"/>
        </w:rPr>
      </w:pPr>
      <w:r>
        <w:rPr>
          <w:lang w:val="en-US"/>
        </w:rPr>
        <w:t xml:space="preserve">6MHz: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PRB</m:t>
            </m:r>
          </m:sub>
        </m:sSub>
        <m:r>
          <w:rPr>
            <w:rFonts w:ascii="Cambria Math" w:hAnsi="Cambria Math"/>
            <w:lang w:eastAsia="en-GB"/>
          </w:rPr>
          <m:t>=30</m:t>
        </m:r>
      </m:oMath>
    </w:p>
    <w:p w14:paraId="2B273A98" w14:textId="77777777" w:rsidR="0001213F" w:rsidRPr="00862709" w:rsidRDefault="0001213F" w:rsidP="0001213F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 xml:space="preserve">The PMCH is received assuming the bandwidth is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PRB</m:t>
            </m:r>
          </m:sub>
        </m:sSub>
      </m:oMath>
      <w:r>
        <w:rPr>
          <w:lang w:eastAsia="en-GB"/>
        </w:rPr>
        <w:t>.</w:t>
      </w:r>
    </w:p>
    <w:p w14:paraId="3B6D623B" w14:textId="5099E1AC" w:rsidR="0001213F" w:rsidRDefault="0001213F" w:rsidP="0001213F">
      <w:pPr>
        <w:rPr>
          <w:b/>
          <w:bCs/>
          <w:lang w:val="en-US"/>
        </w:rPr>
      </w:pPr>
      <w:r w:rsidRPr="00862709">
        <w:rPr>
          <w:b/>
          <w:bCs/>
          <w:u w:val="single"/>
          <w:lang w:val="en-US"/>
        </w:rPr>
        <w:t>Proposal</w:t>
      </w:r>
      <w:r>
        <w:rPr>
          <w:b/>
          <w:bCs/>
          <w:u w:val="single"/>
          <w:lang w:val="en-US"/>
        </w:rPr>
        <w:t xml:space="preserve"> 1</w:t>
      </w:r>
      <w:r w:rsidRPr="00862709">
        <w:rPr>
          <w:b/>
          <w:bCs/>
          <w:u w:val="single"/>
          <w:lang w:val="en-US"/>
        </w:rPr>
        <w:t>:</w:t>
      </w:r>
      <w:r w:rsidRPr="00862709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For supporting 6/7/8MHz PMCH bandwidth, the initial acquisition and system information acquisition is performed over a 5MHz bandwidth.</w:t>
      </w:r>
    </w:p>
    <w:p w14:paraId="1AFF9F6E" w14:textId="5EFFD744" w:rsidR="0001213F" w:rsidRDefault="0001213F" w:rsidP="0001213F">
      <w:pPr>
        <w:rPr>
          <w:b/>
          <w:bCs/>
          <w:lang w:eastAsia="en-GB"/>
        </w:rPr>
      </w:pPr>
      <w:r w:rsidRPr="0001213F">
        <w:rPr>
          <w:b/>
          <w:bCs/>
          <w:u w:val="single"/>
          <w:lang w:val="en-US"/>
        </w:rPr>
        <w:t>Proposal 2:</w:t>
      </w:r>
      <w:r>
        <w:rPr>
          <w:b/>
          <w:bCs/>
          <w:lang w:val="en-US"/>
        </w:rPr>
        <w:t xml:space="preserve"> </w:t>
      </w:r>
      <w:r w:rsidRPr="00862709">
        <w:rPr>
          <w:b/>
          <w:bCs/>
          <w:lang w:val="en-US"/>
        </w:rPr>
        <w:t xml:space="preserve">Allow configuring PMCH bandwidth </w:t>
      </w:r>
      <w:r>
        <w:rPr>
          <w:b/>
          <w:bCs/>
          <w:lang w:val="en-US"/>
        </w:rPr>
        <w:t>larger</w:t>
      </w:r>
      <w:r w:rsidRPr="00862709">
        <w:rPr>
          <w:b/>
          <w:bCs/>
          <w:lang w:val="en-US"/>
        </w:rPr>
        <w:t xml:space="preserve"> than the system bandwidth</w:t>
      </w:r>
      <w:r>
        <w:rPr>
          <w:b/>
          <w:bCs/>
          <w:lang w:val="en-US"/>
        </w:rPr>
        <w:t xml:space="preserve"> indicated by MIB</w:t>
      </w:r>
      <w:r w:rsidRPr="00862709">
        <w:rPr>
          <w:b/>
          <w:bCs/>
          <w:lang w:eastAsia="en-GB"/>
        </w:rPr>
        <w:t xml:space="preserve">. The following </w:t>
      </w:r>
      <w:r>
        <w:rPr>
          <w:b/>
          <w:bCs/>
          <w:lang w:eastAsia="en-GB"/>
        </w:rPr>
        <w:t xml:space="preserve">PMCH bandwidth values are supported for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lang w:eastAsia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RB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DL</m:t>
            </m:r>
          </m:sup>
        </m:sSubSup>
        <m:r>
          <m:rPr>
            <m:sty m:val="bi"/>
          </m:rPr>
          <w:rPr>
            <w:rFonts w:ascii="Cambria Math" w:hAnsi="Cambria Math"/>
            <w:lang w:eastAsia="en-GB"/>
          </w:rPr>
          <m:t>=25</m:t>
        </m:r>
      </m:oMath>
      <w:r w:rsidRPr="00B53D45">
        <w:rPr>
          <w:b/>
          <w:bCs/>
          <w:lang w:eastAsia="en-GB"/>
        </w:rPr>
        <w:t xml:space="preserve"> </w:t>
      </w:r>
      <w:r>
        <w:rPr>
          <w:b/>
          <w:bCs/>
          <w:lang w:eastAsia="en-GB"/>
        </w:rPr>
        <w:t>(5MHz system bandwidth)</w:t>
      </w:r>
      <w:r w:rsidRPr="00B53D45">
        <w:rPr>
          <w:b/>
          <w:bCs/>
          <w:lang w:eastAsia="en-GB"/>
        </w:rPr>
        <w:t>:</w:t>
      </w:r>
    </w:p>
    <w:p w14:paraId="5B93FA01" w14:textId="77777777" w:rsidR="0001213F" w:rsidRPr="00DD15B2" w:rsidRDefault="0001213F" w:rsidP="0001213F">
      <w:pPr>
        <w:pStyle w:val="ListParagraph"/>
        <w:numPr>
          <w:ilvl w:val="0"/>
          <w:numId w:val="30"/>
        </w:numPr>
        <w:rPr>
          <w:b/>
          <w:bCs/>
          <w:lang w:val="en-US"/>
        </w:rPr>
      </w:pPr>
      <w:r w:rsidRPr="00DD15B2">
        <w:rPr>
          <w:b/>
          <w:bCs/>
          <w:lang w:val="en-US" w:eastAsia="en-GB"/>
        </w:rPr>
        <w:t xml:space="preserve">8MHz: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PRB</m:t>
            </m:r>
          </m:sub>
        </m:sSub>
        <m:r>
          <m:rPr>
            <m:sty m:val="bi"/>
          </m:rPr>
          <w:rPr>
            <w:rFonts w:ascii="Cambria Math" w:hAnsi="Cambria Math"/>
            <w:lang w:eastAsia="en-GB"/>
          </w:rPr>
          <m:t>=40</m:t>
        </m:r>
      </m:oMath>
    </w:p>
    <w:p w14:paraId="56EAD74C" w14:textId="77777777" w:rsidR="0001213F" w:rsidRPr="00DD15B2" w:rsidRDefault="0001213F" w:rsidP="0001213F">
      <w:pPr>
        <w:pStyle w:val="ListParagraph"/>
        <w:numPr>
          <w:ilvl w:val="0"/>
          <w:numId w:val="30"/>
        </w:numPr>
        <w:rPr>
          <w:b/>
          <w:bCs/>
          <w:lang w:val="en-US"/>
        </w:rPr>
      </w:pPr>
      <w:r w:rsidRPr="00DD15B2">
        <w:rPr>
          <w:b/>
          <w:bCs/>
          <w:lang w:val="en-US" w:eastAsia="en-GB"/>
        </w:rPr>
        <w:t xml:space="preserve">7MHz: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PRB</m:t>
            </m:r>
          </m:sub>
        </m:sSub>
        <m:r>
          <m:rPr>
            <m:sty m:val="bi"/>
          </m:rPr>
          <w:rPr>
            <w:rFonts w:ascii="Cambria Math" w:hAnsi="Cambria Math"/>
            <w:lang w:eastAsia="en-GB"/>
          </w:rPr>
          <m:t>=35</m:t>
        </m:r>
      </m:oMath>
    </w:p>
    <w:p w14:paraId="0A525DC6" w14:textId="27E3B2A1" w:rsidR="0001213F" w:rsidRPr="0001213F" w:rsidRDefault="0001213F" w:rsidP="0001213F">
      <w:pPr>
        <w:pStyle w:val="ListParagraph"/>
        <w:numPr>
          <w:ilvl w:val="0"/>
          <w:numId w:val="30"/>
        </w:numPr>
        <w:rPr>
          <w:b/>
          <w:bCs/>
          <w:lang w:val="en-US"/>
        </w:rPr>
      </w:pPr>
      <w:r w:rsidRPr="00DD15B2">
        <w:rPr>
          <w:b/>
          <w:bCs/>
          <w:lang w:val="en-US"/>
        </w:rPr>
        <w:t xml:space="preserve">6MHz: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PRB</m:t>
            </m:r>
          </m:sub>
        </m:sSub>
        <m:r>
          <m:rPr>
            <m:sty m:val="bi"/>
          </m:rPr>
          <w:rPr>
            <w:rFonts w:ascii="Cambria Math" w:hAnsi="Cambria Math"/>
            <w:lang w:eastAsia="en-GB"/>
          </w:rPr>
          <m:t>=30</m:t>
        </m:r>
      </m:oMath>
    </w:p>
    <w:p w14:paraId="65489A6F" w14:textId="2D598D43" w:rsidR="0001213F" w:rsidRDefault="0001213F" w:rsidP="0001213F">
      <w:pPr>
        <w:pStyle w:val="ListParagraph"/>
        <w:rPr>
          <w:b/>
          <w:bCs/>
          <w:lang w:val="en-US"/>
        </w:rPr>
      </w:pPr>
    </w:p>
    <w:p w14:paraId="5F8CFD42" w14:textId="10EA4B83" w:rsidR="0001213F" w:rsidRPr="00DD15B2" w:rsidRDefault="0001213F" w:rsidP="0001213F">
      <w:pPr>
        <w:pStyle w:val="ListParagraph"/>
        <w:ind w:left="0"/>
        <w:rPr>
          <w:b/>
          <w:bCs/>
          <w:lang w:val="en-US"/>
        </w:rPr>
      </w:pPr>
      <w:r>
        <w:rPr>
          <w:b/>
          <w:bCs/>
          <w:lang w:val="en-US"/>
        </w:rPr>
        <w:t xml:space="preserve">The </w:t>
      </w:r>
      <w:r w:rsidR="0050125C">
        <w:rPr>
          <w:b/>
          <w:bCs/>
          <w:lang w:val="en-US"/>
        </w:rPr>
        <w:t xml:space="preserve">PMCH bandwidth </w:t>
      </w:r>
      <w:r w:rsidR="00BF1A15">
        <w:rPr>
          <w:b/>
          <w:bCs/>
          <w:lang w:val="en-US"/>
        </w:rPr>
        <w:t>and 5MHz system bandwidth are centered around the same frequency.</w:t>
      </w:r>
    </w:p>
    <w:p w14:paraId="14E41C45" w14:textId="77777777" w:rsidR="0001213F" w:rsidRDefault="0001213F" w:rsidP="0001213F">
      <w:pPr>
        <w:pStyle w:val="ListParagraph"/>
        <w:ind w:left="0"/>
        <w:rPr>
          <w:lang w:val="en-US"/>
        </w:rPr>
      </w:pPr>
    </w:p>
    <w:p w14:paraId="0E1D4468" w14:textId="77777777" w:rsidR="0001213F" w:rsidRDefault="0001213F" w:rsidP="0001213F">
      <w:pPr>
        <w:pStyle w:val="ListParagraph"/>
        <w:ind w:left="0"/>
        <w:rPr>
          <w:lang w:val="en-US"/>
        </w:rPr>
      </w:pPr>
      <w:r>
        <w:rPr>
          <w:lang w:val="en-US"/>
        </w:rPr>
        <w:t>The details of this method are shown in Figure 1:</w:t>
      </w:r>
    </w:p>
    <w:p w14:paraId="13D60C3F" w14:textId="77777777" w:rsidR="0001213F" w:rsidRDefault="0001213F" w:rsidP="0001213F">
      <w:pPr>
        <w:pStyle w:val="ListParagraph"/>
        <w:numPr>
          <w:ilvl w:val="0"/>
          <w:numId w:val="32"/>
        </w:numPr>
        <w:rPr>
          <w:lang w:val="en-US"/>
        </w:rPr>
      </w:pPr>
      <w:r>
        <w:rPr>
          <w:lang w:val="en-US"/>
        </w:rPr>
        <w:t>Step 1: MIB is unchanged, it indicates 25PRB (5MHz).</w:t>
      </w:r>
    </w:p>
    <w:p w14:paraId="15A084C9" w14:textId="77777777" w:rsidR="0001213F" w:rsidRDefault="0001213F" w:rsidP="0001213F">
      <w:pPr>
        <w:pStyle w:val="ListParagraph"/>
        <w:numPr>
          <w:ilvl w:val="0"/>
          <w:numId w:val="32"/>
        </w:numPr>
        <w:rPr>
          <w:lang w:val="en-US"/>
        </w:rPr>
      </w:pPr>
      <w:r>
        <w:rPr>
          <w:lang w:val="en-US"/>
        </w:rPr>
        <w:t>Step 2: PDCCH is monitored in CAS assuming 25 PRB bandwidth.</w:t>
      </w:r>
    </w:p>
    <w:p w14:paraId="4A12D9D4" w14:textId="478E4817" w:rsidR="0001213F" w:rsidRDefault="0001213F" w:rsidP="0001213F">
      <w:pPr>
        <w:pStyle w:val="ListParagraph"/>
        <w:numPr>
          <w:ilvl w:val="0"/>
          <w:numId w:val="32"/>
        </w:numPr>
        <w:rPr>
          <w:lang w:val="en-US"/>
        </w:rPr>
      </w:pPr>
      <w:r>
        <w:rPr>
          <w:lang w:val="en-US"/>
        </w:rPr>
        <w:t>Step 3: SIB is received assuming 25 PRB bandwidth. Within SIB, there is an indication (e.g. per MBSFN area) of the bandwidth of PMCH)</w:t>
      </w:r>
    </w:p>
    <w:p w14:paraId="503B6671" w14:textId="77777777" w:rsidR="0001213F" w:rsidRDefault="0001213F" w:rsidP="0001213F">
      <w:pPr>
        <w:pStyle w:val="ListParagraph"/>
        <w:numPr>
          <w:ilvl w:val="0"/>
          <w:numId w:val="32"/>
        </w:numPr>
        <w:rPr>
          <w:lang w:val="en-US"/>
        </w:rPr>
      </w:pPr>
      <w:r>
        <w:rPr>
          <w:lang w:val="en-US"/>
        </w:rPr>
        <w:t>Step 4: The UE receives PMCH based on the larger system bandwidth.</w:t>
      </w:r>
    </w:p>
    <w:p w14:paraId="11D5E162" w14:textId="77777777" w:rsidR="0001213F" w:rsidRDefault="0001213F" w:rsidP="0001213F">
      <w:pPr>
        <w:pStyle w:val="ListParagraph"/>
        <w:ind w:left="0"/>
        <w:rPr>
          <w:lang w:val="en-US"/>
        </w:rPr>
      </w:pPr>
    </w:p>
    <w:p w14:paraId="55342865" w14:textId="77777777" w:rsidR="0001213F" w:rsidRDefault="0001213F" w:rsidP="0001213F">
      <w:pPr>
        <w:pStyle w:val="ListParagraph"/>
        <w:keepNext/>
        <w:ind w:left="0"/>
        <w:jc w:val="center"/>
      </w:pPr>
      <w:r w:rsidRPr="00BC62C5">
        <w:rPr>
          <w:noProof/>
          <w:lang w:val="en-US"/>
        </w:rPr>
        <w:object w:dxaOrig="6975" w:dyaOrig="4656" w14:anchorId="597685F5">
          <v:shape id="_x0000_i1026" type="#_x0000_t75" alt="" style="width:348.75pt;height:232.55pt;mso-width-percent:0;mso-height-percent:0;mso-width-percent:0;mso-height-percent:0" o:ole="">
            <v:imagedata r:id="rId12" o:title=""/>
          </v:shape>
          <o:OLEObject Type="Embed" ProgID="Visio.Drawing.11" ShapeID="_x0000_i1026" DrawAspect="Content" ObjectID="_1689758745" r:id="rId13"/>
        </w:object>
      </w:r>
    </w:p>
    <w:p w14:paraId="4CFE8295" w14:textId="77777777" w:rsidR="0001213F" w:rsidRDefault="0001213F" w:rsidP="0001213F">
      <w:pPr>
        <w:pStyle w:val="Caption"/>
        <w:jc w:val="center"/>
      </w:pPr>
      <w:r>
        <w:t xml:space="preserve">Figure </w:t>
      </w:r>
      <w:r w:rsidR="002F7BF9">
        <w:fldChar w:fldCharType="begin"/>
      </w:r>
      <w:r w:rsidR="002F7BF9">
        <w:instrText xml:space="preserve"> SEQ </w:instrText>
      </w:r>
      <w:r w:rsidR="002F7BF9">
        <w:instrText xml:space="preserve">Figure \* ARABIC </w:instrText>
      </w:r>
      <w:r w:rsidR="002F7BF9">
        <w:fldChar w:fldCharType="separate"/>
      </w:r>
      <w:r>
        <w:rPr>
          <w:noProof/>
        </w:rPr>
        <w:t>1</w:t>
      </w:r>
      <w:r w:rsidR="002F7BF9">
        <w:rPr>
          <w:noProof/>
        </w:rPr>
        <w:fldChar w:fldCharType="end"/>
      </w:r>
      <w:r>
        <w:t xml:space="preserve"> MIB vs PMCH bandwidth.</w:t>
      </w:r>
    </w:p>
    <w:p w14:paraId="5AE46A70" w14:textId="77777777" w:rsidR="0001213F" w:rsidRDefault="0001213F" w:rsidP="0001213F">
      <w:pPr>
        <w:rPr>
          <w:lang w:val="en-US"/>
        </w:rPr>
      </w:pPr>
    </w:p>
    <w:p w14:paraId="1065DE75" w14:textId="387066EF" w:rsidR="0001213F" w:rsidRDefault="0001213F" w:rsidP="0001213F">
      <w:pPr>
        <w:rPr>
          <w:lang w:val="en-US"/>
        </w:rPr>
      </w:pPr>
    </w:p>
    <w:p w14:paraId="2A73DB2D" w14:textId="5362A669" w:rsidR="0001213F" w:rsidRDefault="0001213F" w:rsidP="0001213F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Other impacts</w:t>
      </w:r>
    </w:p>
    <w:p w14:paraId="4B29AABA" w14:textId="40B6EC2A" w:rsidR="0001213F" w:rsidRDefault="0001213F" w:rsidP="0001213F">
      <w:pPr>
        <w:pStyle w:val="Heading2"/>
        <w:rPr>
          <w:lang w:val="en-US"/>
        </w:rPr>
      </w:pPr>
      <w:r>
        <w:rPr>
          <w:lang w:val="en-US"/>
        </w:rPr>
        <w:t>TBS determination</w:t>
      </w:r>
    </w:p>
    <w:p w14:paraId="3B9E0C93" w14:textId="77777777" w:rsidR="0001213F" w:rsidRDefault="0001213F" w:rsidP="0001213F">
      <w:pPr>
        <w:rPr>
          <w:lang w:val="en-US"/>
        </w:rPr>
      </w:pPr>
    </w:p>
    <w:p w14:paraId="448ECC6B" w14:textId="5C6E3F59" w:rsidR="0001213F" w:rsidRDefault="0001213F" w:rsidP="0001213F">
      <w:pPr>
        <w:rPr>
          <w:lang w:val="en-US"/>
        </w:rPr>
      </w:pPr>
      <w:r>
        <w:rPr>
          <w:lang w:val="en-US"/>
        </w:rPr>
        <w:t>The current TBS determination for PMCH relies on a configured MCS entry + a configured system bandwidth to determine the TBS:</w:t>
      </w:r>
    </w:p>
    <w:p w14:paraId="0C8133D8" w14:textId="095C8CC7" w:rsidR="0001213F" w:rsidRDefault="0001213F" w:rsidP="0001213F">
      <w:pPr>
        <w:rPr>
          <w:lang w:val="en-US"/>
        </w:rPr>
      </w:pPr>
      <w:r w:rsidRPr="0001213F">
        <w:rPr>
          <w:noProof/>
          <w:lang w:val="en-US"/>
        </w:rPr>
        <w:lastRenderedPageBreak/>
        <mc:AlternateContent>
          <mc:Choice Requires="wps">
            <w:drawing>
              <wp:inline distT="0" distB="0" distL="0" distR="0" wp14:anchorId="3E915B7A" wp14:editId="399F36CC">
                <wp:extent cx="6032665" cy="498764"/>
                <wp:effectExtent l="0" t="0" r="25400" b="1587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665" cy="4987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283781" w14:textId="2F45E3E5" w:rsidR="0001213F" w:rsidRDefault="0001213F" w:rsidP="0001213F">
                            <w:r w:rsidRPr="00117D0E">
                              <w:rPr>
                                <w:lang w:eastAsia="en-GB"/>
                              </w:rPr>
                              <w:t xml:space="preserve">The UE shall then follow the procedure in Subclause 7.1.7.2.1 to determine the transport block size, assuming </w:t>
                            </w:r>
                            <w:r w:rsidRPr="0001213F">
                              <w:rPr>
                                <w:noProof/>
                                <w:position w:val="-10"/>
                                <w:highlight w:val="yellow"/>
                                <w:lang w:eastAsia="en-GB"/>
                              </w:rPr>
                              <w:drawing>
                                <wp:inline distT="0" distB="0" distL="0" distR="0" wp14:anchorId="27448350" wp14:editId="0A6E539B">
                                  <wp:extent cx="304800" cy="209550"/>
                                  <wp:effectExtent l="0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9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1213F">
                              <w:rPr>
                                <w:highlight w:val="yellow"/>
                                <w:lang w:eastAsia="en-GB"/>
                              </w:rPr>
                              <w:t>is equal to</w:t>
                            </w:r>
                            <w:r w:rsidRPr="0001213F">
                              <w:rPr>
                                <w:noProof/>
                                <w:position w:val="-10"/>
                                <w:highlight w:val="yellow"/>
                                <w:lang w:eastAsia="en-GB"/>
                              </w:rPr>
                              <w:drawing>
                                <wp:inline distT="0" distB="0" distL="0" distR="0" wp14:anchorId="458A15FC" wp14:editId="5D7A329F">
                                  <wp:extent cx="276225" cy="209550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92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225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1213F">
                              <w:rPr>
                                <w:highlight w:val="yellow"/>
                                <w:lang w:eastAsia="en-GB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E915B7A" id="Text Box 2" o:spid="_x0000_s1027" type="#_x0000_t202" style="width:475pt;height:3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">
                <v:textbox>
                  <w:txbxContent>
                    <w:p w14:paraId="46283781" w14:textId="2F45E3E5" w:rsidR="0001213F" w:rsidRDefault="0001213F" w:rsidP="0001213F">
                      <w:r w:rsidRPr="00117D0E">
                        <w:rPr>
                          <w:lang w:eastAsia="en-GB"/>
                        </w:rPr>
                        <w:t xml:space="preserve">The UE shall then follow the procedure in Subclause 7.1.7.2.1 to determine the transport block size, assuming </w:t>
                      </w:r>
                      <w:r w:rsidRPr="0001213F">
                        <w:rPr>
                          <w:noProof/>
                          <w:position w:val="-10"/>
                          <w:highlight w:val="yellow"/>
                          <w:lang w:eastAsia="en-GB"/>
                        </w:rPr>
                        <w:drawing>
                          <wp:inline distT="0" distB="0" distL="0" distR="0" wp14:anchorId="27448350" wp14:editId="0A6E539B">
                            <wp:extent cx="304800" cy="209550"/>
                            <wp:effectExtent l="0" t="0" r="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9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1213F">
                        <w:rPr>
                          <w:highlight w:val="yellow"/>
                          <w:lang w:eastAsia="en-GB"/>
                        </w:rPr>
                        <w:t>is equal to</w:t>
                      </w:r>
                      <w:r w:rsidRPr="0001213F">
                        <w:rPr>
                          <w:noProof/>
                          <w:position w:val="-10"/>
                          <w:highlight w:val="yellow"/>
                          <w:lang w:eastAsia="en-GB"/>
                        </w:rPr>
                        <w:drawing>
                          <wp:inline distT="0" distB="0" distL="0" distR="0" wp14:anchorId="458A15FC" wp14:editId="5D7A329F">
                            <wp:extent cx="276225" cy="209550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92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6225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1213F">
                        <w:rPr>
                          <w:highlight w:val="yellow"/>
                          <w:lang w:eastAsia="en-GB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F2B7BC6" w14:textId="153AB2EB" w:rsidR="0001213F" w:rsidRPr="0001213F" w:rsidRDefault="0001213F" w:rsidP="0001213F">
      <w:pPr>
        <w:rPr>
          <w:lang w:val="en-US"/>
        </w:rPr>
      </w:pPr>
      <w:r w:rsidRPr="0001213F">
        <w:rPr>
          <w:lang w:val="en-US"/>
        </w:rPr>
        <w:t xml:space="preserve">For </w:t>
      </w:r>
      <w:r w:rsidR="00DC4D49">
        <w:rPr>
          <w:lang w:val="en-US"/>
        </w:rPr>
        <w:t>the case of 6/7/8MHz, the TBS determination should be based on the configured bandwidth (30/35/40PRBs) larger than the system bandwidth.</w:t>
      </w:r>
    </w:p>
    <w:p w14:paraId="0546CD89" w14:textId="77777777" w:rsidR="0001213F" w:rsidRDefault="0001213F" w:rsidP="0001213F">
      <w:pPr>
        <w:rPr>
          <w:b/>
          <w:bCs/>
          <w:u w:val="single"/>
          <w:lang w:val="en-US"/>
        </w:rPr>
      </w:pPr>
    </w:p>
    <w:p w14:paraId="485352F3" w14:textId="42384F4B" w:rsidR="0001213F" w:rsidRPr="0001213F" w:rsidRDefault="0001213F" w:rsidP="0001213F">
      <w:pPr>
        <w:rPr>
          <w:b/>
          <w:bCs/>
          <w:lang w:val="en-US"/>
        </w:rPr>
      </w:pPr>
      <w:r w:rsidRPr="0001213F">
        <w:rPr>
          <w:b/>
          <w:bCs/>
          <w:u w:val="single"/>
          <w:lang w:val="en-US"/>
        </w:rPr>
        <w:t>Proposal 3:</w:t>
      </w:r>
      <w:r>
        <w:rPr>
          <w:b/>
          <w:bCs/>
          <w:lang w:val="en-US"/>
        </w:rPr>
        <w:t xml:space="preserve"> The UE uses the configured bandwidth (30/35/40 PRBs) to determine the TBS as per TS 36.213, Subclause 11.1</w:t>
      </w:r>
    </w:p>
    <w:p w14:paraId="2325F361" w14:textId="44A2A9AF" w:rsidR="003918A6" w:rsidRDefault="003918A6" w:rsidP="003918A6">
      <w:pPr>
        <w:rPr>
          <w:rFonts w:ascii="Calibri Light" w:hAnsi="Calibri Light"/>
          <w:b/>
          <w:bCs/>
          <w:i/>
          <w:iCs/>
          <w:sz w:val="28"/>
          <w:szCs w:val="28"/>
          <w:lang w:val="en-US"/>
        </w:rPr>
      </w:pPr>
    </w:p>
    <w:p w14:paraId="56C1AA7F" w14:textId="3720D165" w:rsidR="0001213F" w:rsidRDefault="0001213F" w:rsidP="0001213F">
      <w:pPr>
        <w:pStyle w:val="Heading2"/>
        <w:rPr>
          <w:lang w:val="en-US"/>
        </w:rPr>
      </w:pPr>
      <w:r>
        <w:rPr>
          <w:lang w:val="en-US"/>
        </w:rPr>
        <w:t>MBSFN-RS</w:t>
      </w:r>
    </w:p>
    <w:p w14:paraId="2F547963" w14:textId="27428FB0" w:rsidR="0001213F" w:rsidRDefault="00DC4D49" w:rsidP="003918A6">
      <w:pPr>
        <w:rPr>
          <w:lang w:val="en-US"/>
        </w:rPr>
      </w:pPr>
      <w:r>
        <w:rPr>
          <w:lang w:val="en-US"/>
        </w:rPr>
        <w:t>The current equations for MBSFN-RS include the system bandwidth for determining both the start and length of the MBSFN-RS</w:t>
      </w:r>
      <w:r w:rsidR="0050125C">
        <w:rPr>
          <w:lang w:val="en-US"/>
        </w:rPr>
        <w:t xml:space="preserve"> depends on the system bandwidth </w:t>
      </w:r>
      <m:oMath>
        <m:sSubSup>
          <m:sSubSupPr>
            <m:ctrlPr>
              <w:rPr>
                <w:rFonts w:ascii="Cambria Math" w:eastAsia="Times New Roman" w:hAnsi="Cambria Math"/>
                <w:i/>
                <w:noProof/>
              </w:rPr>
            </m:ctrlPr>
          </m:sSubSupPr>
          <m:e>
            <m:r>
              <w:rPr>
                <w:rFonts w:ascii="Cambria Math" w:eastAsia="Times New Roman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/>
                <w:noProof/>
              </w:rPr>
              <m:t>RB</m:t>
            </m:r>
            <m:ctrlPr>
              <w:rPr>
                <w:rFonts w:ascii="Cambria Math" w:eastAsia="Times New Roman" w:hAnsi="Cambria Math"/>
                <w:noProof/>
              </w:rPr>
            </m:ctrlPr>
          </m:sub>
          <m:sup>
            <m:r>
              <m:rPr>
                <m:nor/>
              </m:rPr>
              <w:rPr>
                <w:rFonts w:ascii="Cambria Math" w:eastAsia="Times New Roman"/>
                <w:noProof/>
              </w:rPr>
              <m:t>DL</m:t>
            </m:r>
            <m:ctrlPr>
              <w:rPr>
                <w:rFonts w:ascii="Cambria Math" w:eastAsia="Times New Roman" w:hAnsi="Cambria Math"/>
                <w:noProof/>
              </w:rPr>
            </m:ctrlPr>
          </m:sup>
        </m:sSubSup>
      </m:oMath>
      <w:r w:rsidR="0050125C">
        <w:t>:</w:t>
      </w:r>
    </w:p>
    <w:p w14:paraId="4D44A50B" w14:textId="3AD46AE9" w:rsidR="00DC4D49" w:rsidRDefault="00DC4D49" w:rsidP="003918A6">
      <w:pPr>
        <w:rPr>
          <w:lang w:val="en-US"/>
        </w:rPr>
      </w:pPr>
      <w:r w:rsidRPr="00DC4D49">
        <w:rPr>
          <w:noProof/>
          <w:lang w:val="en-US"/>
        </w:rPr>
        <mc:AlternateContent>
          <mc:Choice Requires="wps">
            <w:drawing>
              <wp:inline distT="0" distB="0" distL="0" distR="0" wp14:anchorId="02164391" wp14:editId="64A840EA">
                <wp:extent cx="5812972" cy="2523507"/>
                <wp:effectExtent l="0" t="0" r="16510" b="1016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2972" cy="25235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6FD088" w14:textId="77777777" w:rsidR="0050125C" w:rsidRPr="0050125C" w:rsidRDefault="0050125C" w:rsidP="0050125C">
                            <w:pPr>
                              <w:widowControl w:val="0"/>
                              <w:overflowPunct/>
                              <w:autoSpaceDE/>
                              <w:autoSpaceDN/>
                              <w:adjustRightInd/>
                              <w:spacing w:before="120"/>
                              <w:ind w:left="1701" w:hanging="1701"/>
                              <w:textAlignment w:val="auto"/>
                              <w:outlineLvl w:val="4"/>
                              <w:rPr>
                                <w:rFonts w:ascii="Arial" w:eastAsia="Times New Roman" w:hAnsi="Arial"/>
                                <w:sz w:val="22"/>
                              </w:rPr>
                            </w:pPr>
                            <w:r w:rsidRPr="0050125C">
                              <w:rPr>
                                <w:rFonts w:ascii="Arial" w:eastAsia="Times New Roman" w:hAnsi="Arial"/>
                                <w:sz w:val="22"/>
                              </w:rPr>
                              <w:t>6.10.2.2.2</w:t>
                            </w:r>
                            <w:r w:rsidRPr="0050125C">
                              <w:rPr>
                                <w:rFonts w:ascii="Arial" w:eastAsia="Times New Roman" w:hAnsi="Arial"/>
                                <w:sz w:val="22"/>
                              </w:rPr>
                              <w:tab/>
                              <w:t>Mapping to resource elements for 1.25 kHz</w:t>
                            </w:r>
                          </w:p>
                          <w:p w14:paraId="789FC8C5" w14:textId="77777777" w:rsidR="0050125C" w:rsidRPr="0050125C" w:rsidRDefault="0050125C" w:rsidP="0050125C">
                            <w:pPr>
                              <w:widowControl w:val="0"/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eastAsia="Times New Roman"/>
                              </w:rPr>
                            </w:pPr>
                            <w:r w:rsidRPr="0050125C">
                              <w:rPr>
                                <w:rFonts w:eastAsia="Times New Roman"/>
                              </w:rPr>
                              <w:t xml:space="preserve">The reference-signal sequence </w:t>
                            </w:r>
                            <w:r w:rsidRPr="0050125C">
                              <w:rPr>
                                <w:rFonts w:eastAsia="Times New Roman"/>
                                <w:position w:val="-14"/>
                              </w:rPr>
                              <w:object w:dxaOrig="760" w:dyaOrig="340" w14:anchorId="1814BA53">
                                <v:shape id="_x0000_i1028" type="#_x0000_t75" style="width:38.5pt;height:17.6pt" o:ole="">
                                  <v:imagedata r:id="rId14" o:title=""/>
                                </v:shape>
                                <o:OLEObject Type="Embed" ProgID="Equation.3" ShapeID="_x0000_i1028" DrawAspect="Content" ObjectID="_1689758746" r:id="rId15"/>
                              </w:object>
                            </w:r>
                            <w:r w:rsidRPr="0050125C">
                              <w:rPr>
                                <w:rFonts w:eastAsia="Times New Roman"/>
                              </w:rPr>
                              <w:t xml:space="preserve"> in OFDM symbol </w:t>
                            </w:r>
                            <w:r w:rsidRPr="0050125C">
                              <w:rPr>
                                <w:rFonts w:eastAsia="Times New Roman"/>
                                <w:position w:val="-6"/>
                              </w:rPr>
                              <w:object w:dxaOrig="134" w:dyaOrig="251" w14:anchorId="6E3CC8F5">
                                <v:shape id="_x0000_i1030" type="#_x0000_t75" style="width:6.7pt;height:12.55pt">
                                  <v:imagedata r:id="rId16" o:title=""/>
                                </v:shape>
                                <o:OLEObject Type="Embed" ProgID="Equation.3" ShapeID="_x0000_i1030" DrawAspect="Content" ObjectID="_1689758747" r:id="rId17"/>
                              </w:object>
                            </w:r>
                            <w:r w:rsidRPr="0050125C">
                              <w:rPr>
                                <w:rFonts w:eastAsia="Times New Roman"/>
                              </w:rPr>
                              <w:t xml:space="preserve"> shall be mapped to complex-valued modulation symbols </w:t>
                            </w:r>
                            <w:r w:rsidRPr="0050125C">
                              <w:rPr>
                                <w:rFonts w:eastAsia="Times New Roman"/>
                                <w:position w:val="-14"/>
                              </w:rPr>
                              <w:object w:dxaOrig="385" w:dyaOrig="368" w14:anchorId="2CF651CC">
                                <v:shape id="_x0000_i1032" type="#_x0000_t75" style="width:19.25pt;height:18.4pt">
                                  <v:imagedata r:id="rId18" o:title=""/>
                                </v:shape>
                                <o:OLEObject Type="Embed" ProgID="Equation.3" ShapeID="_x0000_i1032" DrawAspect="Content" ObjectID="_1689758748" r:id="rId19"/>
                              </w:object>
                            </w:r>
                            <w:r w:rsidRPr="0050125C">
                              <w:rPr>
                                <w:rFonts w:eastAsia="Times New Roman"/>
                              </w:rPr>
                              <w:t xml:space="preserve"> with </w:t>
                            </w:r>
                            <w:r w:rsidRPr="0050125C">
                              <w:rPr>
                                <w:rFonts w:eastAsia="Times New Roman"/>
                                <w:position w:val="-10"/>
                              </w:rPr>
                              <w:object w:dxaOrig="519" w:dyaOrig="285" w14:anchorId="00ACBD14">
                                <v:shape id="_x0000_i1034" type="#_x0000_t75" style="width:25.95pt;height:14.25pt">
                                  <v:imagedata r:id="rId20" o:title=""/>
                                </v:shape>
                                <o:OLEObject Type="Embed" ProgID="Equation.3" ShapeID="_x0000_i1034" DrawAspect="Content" ObjectID="_1689758749" r:id="rId21"/>
                              </w:object>
                            </w:r>
                            <w:r w:rsidRPr="0050125C">
                              <w:rPr>
                                <w:rFonts w:eastAsia="Times New Roman"/>
                              </w:rPr>
                              <w:t xml:space="preserve"> according to </w:t>
                            </w:r>
                          </w:p>
                          <w:p w14:paraId="24E625D4" w14:textId="77777777" w:rsidR="0050125C" w:rsidRPr="0050125C" w:rsidRDefault="0050125C" w:rsidP="0050125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overflowPunct/>
                              <w:autoSpaceDE/>
                              <w:autoSpaceDN/>
                              <w:adjustRightInd/>
                              <w:jc w:val="center"/>
                              <w:textAlignment w:val="auto"/>
                              <w:rPr>
                                <w:rFonts w:eastAsia="Times New Roman"/>
                                <w:noProof/>
                              </w:rPr>
                            </w:pPr>
                            <w:r w:rsidRPr="0050125C">
                              <w:rPr>
                                <w:rFonts w:eastAsia="Times New Roman"/>
                                <w:noProof/>
                                <w:position w:val="-14"/>
                              </w:rPr>
                              <w:object w:dxaOrig="1306" w:dyaOrig="368" w14:anchorId="7DDE640E">
                                <v:shape id="_x0000_i1036" type="#_x0000_t75" style="width:65.3pt;height:18.4pt">
                                  <v:imagedata r:id="rId22" o:title=""/>
                                </v:shape>
                                <o:OLEObject Type="Embed" ProgID="Equation.3" ShapeID="_x0000_i1036" DrawAspect="Content" ObjectID="_1689758750" r:id="rId23"/>
                              </w:object>
                            </w:r>
                          </w:p>
                          <w:p w14:paraId="2C45FE06" w14:textId="77777777" w:rsidR="0050125C" w:rsidRPr="0050125C" w:rsidRDefault="0050125C" w:rsidP="0050125C">
                            <w:pPr>
                              <w:widowControl w:val="0"/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eastAsia="Times New Roman"/>
                              </w:rPr>
                            </w:pPr>
                            <w:r w:rsidRPr="0050125C">
                              <w:rPr>
                                <w:rFonts w:eastAsia="Times New Roman"/>
                              </w:rPr>
                              <w:t xml:space="preserve">where </w:t>
                            </w:r>
                          </w:p>
                          <w:p w14:paraId="142EF503" w14:textId="2334D7A1" w:rsidR="0050125C" w:rsidRPr="0050125C" w:rsidRDefault="0050125C" w:rsidP="0050125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overflowPunct/>
                              <w:autoSpaceDE/>
                              <w:autoSpaceDN/>
                              <w:adjustRightInd/>
                              <w:jc w:val="center"/>
                              <w:textAlignment w:val="auto"/>
                              <w:rPr>
                                <w:rFonts w:eastAsia="Times New Roman"/>
                                <w:noProof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="Times New Roman"/>
                                    <w:noProof/>
                                  </w:rPr>
                                  <m:t>k=</m:t>
                                </m:r>
                                <m:d>
                                  <m:dPr>
                                    <m:begChr m:val="{"/>
                                    <m:endChr m:val=""/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noProof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2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noProof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r>
                                            <w:rPr>
                                              <w:rFonts w:ascii="Cambria Math" w:eastAsia="Times New Roman"/>
                                              <w:noProof/>
                                            </w:rPr>
                                            <m:t>6m</m:t>
                                          </m:r>
                                        </m:e>
                                        <m:e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eastAsia="Times New Roman"/>
                                              <w:noProof/>
                                            </w:rPr>
                                            <m:t xml:space="preserve">if 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Times New Roman" w:hAnsi="Cambria Math"/>
                                                  <w:noProof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Times New Roman"/>
                                                  <w:noProof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nor/>
                                                </m:rPr>
                                                <w:rPr>
                                                  <w:rFonts w:ascii="Cambria Math" w:eastAsia="Times New Roman"/>
                                                  <w:noProof/>
                                                </w:rPr>
                                                <m:t>sf</m:t>
                                              </m:r>
                                            </m:sub>
                                          </m:sSub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="Times New Roman" w:hAnsi="Cambria Math"/>
                                                  <w:i/>
                                                  <w:noProof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w:rPr>
                                                  <w:rFonts w:ascii="Cambria Math" w:eastAsia="Times New Roman"/>
                                                  <w:noProof/>
                                                </w:rPr>
                                                <m:t>mod</m:t>
                                              </m:r>
                                            </m:fName>
                                            <m:e>
                                              <m:r>
                                                <w:rPr>
                                                  <w:rFonts w:ascii="Cambria Math" w:eastAsia="Times New Roman"/>
                                                  <w:noProof/>
                                                </w:rPr>
                                                <m:t>2</m:t>
                                              </m:r>
                                            </m:e>
                                          </m:func>
                                          <m:r>
                                            <w:rPr>
                                              <w:rFonts w:ascii="Cambria Math" w:eastAsia="Times New Roman"/>
                                              <w:noProof/>
                                            </w:rPr>
                                            <m:t>=0</m:t>
                                          </m:r>
                                        </m:e>
                                      </m:mr>
                                      <m:mr>
                                        <m:e>
                                          <m:r>
                                            <w:rPr>
                                              <w:rFonts w:ascii="Cambria Math" w:eastAsia="Times New Roman"/>
                                              <w:noProof/>
                                            </w:rPr>
                                            <m:t>6m+3</m:t>
                                          </m:r>
                                        </m:e>
                                        <m:e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eastAsia="Times New Roman"/>
                                              <w:noProof/>
                                            </w:rPr>
                                            <m:t xml:space="preserve">if 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Times New Roman" w:hAnsi="Cambria Math"/>
                                                  <w:noProof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Times New Roman"/>
                                                  <w:noProof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nor/>
                                                </m:rPr>
                                                <w:rPr>
                                                  <w:rFonts w:ascii="Cambria Math" w:eastAsia="Times New Roman"/>
                                                  <w:noProof/>
                                                </w:rPr>
                                                <m:t>sf</m:t>
                                              </m:r>
                                            </m:sub>
                                          </m:sSub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="Times New Roman" w:hAnsi="Cambria Math"/>
                                                  <w:i/>
                                                  <w:noProof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w:rPr>
                                                  <w:rFonts w:ascii="Cambria Math" w:eastAsia="Times New Roman"/>
                                                  <w:noProof/>
                                                </w:rPr>
                                                <m:t>mod</m:t>
                                              </m:r>
                                            </m:fName>
                                            <m:e>
                                              <m:r>
                                                <w:rPr>
                                                  <w:rFonts w:ascii="Cambria Math" w:eastAsia="Times New Roman"/>
                                                  <w:noProof/>
                                                </w:rPr>
                                                <m:t>2</m:t>
                                              </m:r>
                                            </m:e>
                                          </m:func>
                                          <m:r>
                                            <w:rPr>
                                              <w:rFonts w:ascii="Cambria Math" w:eastAsia="Times New Roman"/>
                                              <w:noProof/>
                                            </w:rPr>
                                            <m:t>=1</m:t>
                                          </m:r>
                                        </m:e>
                                      </m:mr>
                                    </m:m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/>
                                    <w:noProof/>
                                  </w:rPr>
                                  <w:br/>
                                </m:r>
                              </m:oMath>
                              <m:oMath>
                                <m:r>
                                  <w:rPr>
                                    <w:rFonts w:ascii="Cambria Math" w:eastAsia="Times New Roman"/>
                                    <w:noProof/>
                                  </w:rPr>
                                  <m:t>l=0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/>
                                    <w:noProof/>
                                  </w:rPr>
                                  <w:br/>
                                </m:r>
                              </m:oMath>
                              <m:oMath>
                                <m:r>
                                  <w:rPr>
                                    <w:rFonts w:ascii="Cambria Math" w:eastAsia="Times New Roman"/>
                                    <w:noProof/>
                                  </w:rPr>
                                  <m:t>m=0,1,...,24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noProof/>
                                        <w:color w:val="FF0000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Times New Roman"/>
                                        <w:noProof/>
                                        <w:color w:val="FF000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Times New Roman"/>
                                        <w:noProof/>
                                        <w:color w:val="FF0000"/>
                                      </w:rPr>
                                      <m:t>RB</m:t>
                                    </m:r>
                                    <m:ctrlPr>
                                      <w:rPr>
                                        <w:rFonts w:ascii="Cambria Math" w:eastAsia="Times New Roman" w:hAnsi="Cambria Math"/>
                                        <w:noProof/>
                                        <w:color w:val="FF0000"/>
                                      </w:rPr>
                                    </m:ctrlP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Times New Roman"/>
                                        <w:noProof/>
                                        <w:color w:val="FF0000"/>
                                      </w:rPr>
                                      <m:t>DL</m:t>
                                    </m:r>
                                    <m:ctrlPr>
                                      <w:rPr>
                                        <w:rFonts w:ascii="Cambria Math" w:eastAsia="Times New Roman" w:hAnsi="Cambria Math"/>
                                        <w:noProof/>
                                        <w:color w:val="FF0000"/>
                                      </w:rPr>
                                    </m:ctrlPr>
                                  </m:sup>
                                </m:sSubSup>
                                <m:r>
                                  <w:rPr>
                                    <w:rFonts w:ascii="Cambria Math" w:eastAsia="Times New Roman"/>
                                    <w:noProof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eastAsia="Times New Roman"/>
                                    <w:noProof/>
                                  </w:rPr>
                                  <m:t>1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/>
                                    <w:noProof/>
                                  </w:rPr>
                                  <w:br/>
                                </m:r>
                              </m:oMath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noProof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Times New Roman"/>
                                        <w:noProof/>
                                      </w:rPr>
                                      <m:t>m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Times New Roman"/>
                                        <w:noProof/>
                                      </w:rPr>
                                      <m:t>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="Times New Roman"/>
                                    <w:noProof/>
                                  </w:rPr>
                                  <m:t>=m+3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noProof/>
                                      </w:rPr>
                                    </m:ctrlPr>
                                  </m:d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noProof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="Times New Roman"/>
                                            <w:noProof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/>
                                            <w:noProof/>
                                          </w:rPr>
                                          <m:t>RB</m:t>
                                        </m: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noProof/>
                                          </w:rPr>
                                        </m:ctrlPr>
                                      </m:sub>
                                      <m:sup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/>
                                            <w:noProof/>
                                          </w:rPr>
                                          <m:t>max,DL</m:t>
                                        </m: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noProof/>
                                          </w:rPr>
                                        </m:ctrlPr>
                                      </m:sup>
                                    </m:sSubSup>
                                    <m:r>
                                      <w:rPr>
                                        <w:rFonts w:ascii="Cambria Math" w:eastAsia="Times New Roman"/>
                                        <w:noProof/>
                                      </w:rPr>
                                      <m:t>-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noProof/>
                                            <w:color w:val="FF0000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="Times New Roman"/>
                                            <w:noProof/>
                                            <w:color w:val="FF0000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/>
                                            <w:noProof/>
                                            <w:color w:val="FF0000"/>
                                          </w:rPr>
                                          <m:t>RB</m:t>
                                        </m: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noProof/>
                                            <w:color w:val="FF0000"/>
                                          </w:rPr>
                                        </m:ctrlPr>
                                      </m:sub>
                                      <m:sup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/>
                                            <w:noProof/>
                                            <w:color w:val="FF0000"/>
                                          </w:rPr>
                                          <m:t>DL</m:t>
                                        </m: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noProof/>
                                            <w:color w:val="FF0000"/>
                                          </w:rPr>
                                        </m:ctrlPr>
                                      </m:sup>
                                    </m:sSubSup>
                                  </m:e>
                                </m:d>
                              </m:oMath>
                            </m:oMathPara>
                          </w:p>
                          <w:p w14:paraId="36A657D4" w14:textId="0B8F6B51" w:rsidR="00DC4D49" w:rsidRDefault="00DC4D4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2164391" id="_x0000_s1028" type="#_x0000_t202" style="width:457.7pt;height:19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">
                <v:textbox>
                  <w:txbxContent>
                    <w:p w14:paraId="4C6FD088" w14:textId="77777777" w:rsidR="0050125C" w:rsidRPr="0050125C" w:rsidRDefault="0050125C" w:rsidP="0050125C">
                      <w:pPr>
                        <w:widowControl w:val="0"/>
                        <w:overflowPunct/>
                        <w:autoSpaceDE/>
                        <w:autoSpaceDN/>
                        <w:adjustRightInd/>
                        <w:spacing w:before="120"/>
                        <w:ind w:left="1701" w:hanging="1701"/>
                        <w:textAlignment w:val="auto"/>
                        <w:outlineLvl w:val="4"/>
                        <w:rPr>
                          <w:rFonts w:ascii="Arial" w:eastAsia="Times New Roman" w:hAnsi="Arial"/>
                          <w:sz w:val="22"/>
                        </w:rPr>
                      </w:pPr>
                      <w:r w:rsidRPr="0050125C">
                        <w:rPr>
                          <w:rFonts w:ascii="Arial" w:eastAsia="Times New Roman" w:hAnsi="Arial"/>
                          <w:sz w:val="22"/>
                        </w:rPr>
                        <w:t>6.10.2.2.2</w:t>
                      </w:r>
                      <w:r w:rsidRPr="0050125C">
                        <w:rPr>
                          <w:rFonts w:ascii="Arial" w:eastAsia="Times New Roman" w:hAnsi="Arial"/>
                          <w:sz w:val="22"/>
                        </w:rPr>
                        <w:tab/>
                        <w:t>Mapping to resource elements for 1.25 kHz</w:t>
                      </w:r>
                    </w:p>
                    <w:p w14:paraId="789FC8C5" w14:textId="77777777" w:rsidR="0050125C" w:rsidRPr="0050125C" w:rsidRDefault="0050125C" w:rsidP="0050125C">
                      <w:pPr>
                        <w:widowControl w:val="0"/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eastAsia="Times New Roman"/>
                        </w:rPr>
                      </w:pPr>
                      <w:r w:rsidRPr="0050125C">
                        <w:rPr>
                          <w:rFonts w:eastAsia="Times New Roman"/>
                        </w:rPr>
                        <w:t xml:space="preserve">The reference-signal sequence </w:t>
                      </w:r>
                      <w:r w:rsidRPr="0050125C">
                        <w:rPr>
                          <w:rFonts w:eastAsia="Times New Roman"/>
                          <w:position w:val="-14"/>
                        </w:rPr>
                        <w:object w:dxaOrig="760" w:dyaOrig="340" w14:anchorId="1814BA53">
                          <v:shape id="_x0000_i1172" type="#_x0000_t75" style="width:38.5pt;height:17.6pt" o:ole="">
                            <v:imagedata r:id="rId24" o:title=""/>
                          </v:shape>
                          <o:OLEObject Type="Embed" ProgID="Equation.3" ShapeID="_x0000_i1172" DrawAspect="Content" ObjectID="_1689318870" r:id="rId25"/>
                        </w:object>
                      </w:r>
                      <w:r w:rsidRPr="0050125C">
                        <w:rPr>
                          <w:rFonts w:eastAsia="Times New Roman"/>
                        </w:rPr>
                        <w:t xml:space="preserve"> in OFDM symbol </w:t>
                      </w:r>
                      <w:r w:rsidRPr="0050125C">
                        <w:rPr>
                          <w:rFonts w:eastAsia="Times New Roman"/>
                          <w:position w:val="-6"/>
                        </w:rPr>
                        <w:object w:dxaOrig="139" w:dyaOrig="260" w14:anchorId="6E3CC8F5">
                          <v:shape id="_x0000_i1173" type="#_x0000_t75" style="width:6.7pt;height:12.55pt">
                            <v:imagedata r:id="rId26" o:title=""/>
                          </v:shape>
                          <o:OLEObject Type="Embed" ProgID="Equation.3" ShapeID="_x0000_i1173" DrawAspect="Content" ObjectID="_1689318871" r:id="rId27"/>
                        </w:object>
                      </w:r>
                      <w:r w:rsidRPr="0050125C">
                        <w:rPr>
                          <w:rFonts w:eastAsia="Times New Roman"/>
                        </w:rPr>
                        <w:t xml:space="preserve"> shall be mapped to complex-valued modulation symbols </w:t>
                      </w:r>
                      <w:r w:rsidRPr="0050125C">
                        <w:rPr>
                          <w:rFonts w:eastAsia="Times New Roman"/>
                          <w:position w:val="-14"/>
                        </w:rPr>
                        <w:object w:dxaOrig="400" w:dyaOrig="380" w14:anchorId="2CF651CC">
                          <v:shape id="_x0000_i1174" type="#_x0000_t75" style="width:19.25pt;height:18.4pt">
                            <v:imagedata r:id="rId28" o:title=""/>
                          </v:shape>
                          <o:OLEObject Type="Embed" ProgID="Equation.3" ShapeID="_x0000_i1174" DrawAspect="Content" ObjectID="_1689318872" r:id="rId29"/>
                        </w:object>
                      </w:r>
                      <w:r w:rsidRPr="0050125C">
                        <w:rPr>
                          <w:rFonts w:eastAsia="Times New Roman"/>
                        </w:rPr>
                        <w:t xml:space="preserve"> with </w:t>
                      </w:r>
                      <w:r w:rsidRPr="0050125C">
                        <w:rPr>
                          <w:rFonts w:eastAsia="Times New Roman"/>
                          <w:position w:val="-10"/>
                        </w:rPr>
                        <w:object w:dxaOrig="520" w:dyaOrig="279" w14:anchorId="00ACBD14">
                          <v:shape id="_x0000_i1175" type="#_x0000_t75" style="width:25.95pt;height:14.25pt">
                            <v:imagedata r:id="rId30" o:title=""/>
                          </v:shape>
                          <o:OLEObject Type="Embed" ProgID="Equation.3" ShapeID="_x0000_i1175" DrawAspect="Content" ObjectID="_1689318873" r:id="rId31"/>
                        </w:object>
                      </w:r>
                      <w:r w:rsidRPr="0050125C">
                        <w:rPr>
                          <w:rFonts w:eastAsia="Times New Roman"/>
                        </w:rPr>
                        <w:t xml:space="preserve"> according to </w:t>
                      </w:r>
                    </w:p>
                    <w:p w14:paraId="24E625D4" w14:textId="77777777" w:rsidR="0050125C" w:rsidRPr="0050125C" w:rsidRDefault="0050125C" w:rsidP="0050125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overflowPunct/>
                        <w:autoSpaceDE/>
                        <w:autoSpaceDN/>
                        <w:adjustRightInd/>
                        <w:jc w:val="center"/>
                        <w:textAlignment w:val="auto"/>
                        <w:rPr>
                          <w:rFonts w:eastAsia="Times New Roman"/>
                          <w:noProof/>
                        </w:rPr>
                      </w:pPr>
                      <w:r w:rsidRPr="0050125C">
                        <w:rPr>
                          <w:rFonts w:eastAsia="Times New Roman"/>
                          <w:noProof/>
                          <w:position w:val="-14"/>
                        </w:rPr>
                        <w:object w:dxaOrig="1300" w:dyaOrig="380" w14:anchorId="7DDE640E">
                          <v:shape id="_x0000_i1176" type="#_x0000_t75" style="width:65.3pt;height:18.4pt">
                            <v:imagedata r:id="rId32" o:title=""/>
                          </v:shape>
                          <o:OLEObject Type="Embed" ProgID="Equation.3" ShapeID="_x0000_i1176" DrawAspect="Content" ObjectID="_1689318874" r:id="rId33"/>
                        </w:object>
                      </w:r>
                    </w:p>
                    <w:p w14:paraId="2C45FE06" w14:textId="77777777" w:rsidR="0050125C" w:rsidRPr="0050125C" w:rsidRDefault="0050125C" w:rsidP="0050125C">
                      <w:pPr>
                        <w:widowControl w:val="0"/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eastAsia="Times New Roman"/>
                        </w:rPr>
                      </w:pPr>
                      <w:r w:rsidRPr="0050125C">
                        <w:rPr>
                          <w:rFonts w:eastAsia="Times New Roman"/>
                        </w:rPr>
                        <w:t xml:space="preserve">where </w:t>
                      </w:r>
                    </w:p>
                    <w:p w14:paraId="142EF503" w14:textId="2334D7A1" w:rsidR="0050125C" w:rsidRPr="0050125C" w:rsidRDefault="0050125C" w:rsidP="0050125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overflowPunct/>
                        <w:autoSpaceDE/>
                        <w:autoSpaceDN/>
                        <w:adjustRightInd/>
                        <w:jc w:val="center"/>
                        <w:textAlignment w:val="auto"/>
                        <w:rPr>
                          <w:rFonts w:eastAsia="Times New Roman"/>
                          <w:noProof/>
                        </w:rPr>
                      </w:pPr>
                      <m:oMathPara>
                        <m:oMath>
                          <m:r>
                            <w:rPr>
                              <w:rFonts w:ascii="Cambria Math" w:eastAsia="Times New Roman"/>
                              <w:noProof/>
                            </w:rPr>
                            <m:t>k=</m:t>
                          </m:r>
                          <m:d>
                            <m:dPr>
                              <m:begChr m:val="{"/>
                              <m:endChr m:val=""/>
                              <m:ctrlPr>
                                <w:rPr>
                                  <w:rFonts w:ascii="Cambria Math" w:eastAsia="Times New Roman"/>
                                  <w:i/>
                                  <w:noProof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Times New Roman"/>
                                      <w:i/>
                                      <w:noProof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eastAsia="Times New Roman"/>
                                        <w:noProof/>
                                      </w:rPr>
                                      <m:t>6m</m:t>
                                    </m:r>
                                  </m:e>
                                  <m:e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Times New Roman"/>
                                        <w:noProof/>
                                      </w:rPr>
                                      <m:t xml:space="preserve">if 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/>
                                            <w:noProof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/>
                                            <w:noProof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/>
                                            <w:noProof/>
                                          </w:rPr>
                                          <m:t>sf</m:t>
                                        </m:r>
                                      </m:sub>
                                    </m:sSub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="Times New Roman"/>
                                            <w:i/>
                                            <w:noProof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w:rPr>
                                            <w:rFonts w:ascii="Cambria Math" w:eastAsia="Times New Roman"/>
                                            <w:noProof/>
                                          </w:rPr>
                                          <m:t>mod</m:t>
                                        </m:r>
                                      </m:fName>
                                      <m:e>
                                        <m:r>
                                          <w:rPr>
                                            <w:rFonts w:ascii="Cambria Math" w:eastAsia="Times New Roman"/>
                                            <w:noProof/>
                                          </w:rPr>
                                          <m:t>2</m:t>
                                        </m:r>
                                      </m:e>
                                    </m:func>
                                    <m:r>
                                      <w:rPr>
                                        <w:rFonts w:ascii="Cambria Math" w:eastAsia="Times New Roman"/>
                                        <w:noProof/>
                                      </w:rPr>
                                      <m:t>=0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eastAsia="Times New Roman"/>
                                        <w:noProof/>
                                      </w:rPr>
                                      <m:t>6m+3</m:t>
                                    </m:r>
                                  </m:e>
                                  <m:e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Times New Roman"/>
                                        <w:noProof/>
                                      </w:rPr>
                                      <m:t xml:space="preserve">if 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/>
                                            <w:noProof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/>
                                            <w:noProof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Times New Roman"/>
                                            <w:noProof/>
                                          </w:rPr>
                                          <m:t>sf</m:t>
                                        </m:r>
                                      </m:sub>
                                    </m:sSub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="Times New Roman"/>
                                            <w:i/>
                                            <w:noProof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w:rPr>
                                            <w:rFonts w:ascii="Cambria Math" w:eastAsia="Times New Roman"/>
                                            <w:noProof/>
                                          </w:rPr>
                                          <m:t>mod</m:t>
                                        </m:r>
                                      </m:fName>
                                      <m:e>
                                        <m:r>
                                          <w:rPr>
                                            <w:rFonts w:ascii="Cambria Math" w:eastAsia="Times New Roman"/>
                                            <w:noProof/>
                                          </w:rPr>
                                          <m:t>2</m:t>
                                        </m:r>
                                      </m:e>
                                    </m:func>
                                    <m:r>
                                      <w:rPr>
                                        <w:rFonts w:ascii="Cambria Math" w:eastAsia="Times New Roman"/>
                                        <w:noProof/>
                                      </w:rPr>
                                      <m:t>=1</m:t>
                                    </m:r>
                                  </m:e>
                                </m:mr>
                              </m:m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noProof/>
                                </w:rPr>
                              </m:ctrlPr>
                            </m:e>
                          </m:d>
                          <m:r>
                            <w:rPr>
                              <w:rFonts w:ascii="Cambria Math" w:eastAsia="Times New Roman"/>
                              <w:noProof/>
                            </w:rPr>
                            <w:br/>
                          </m:r>
                        </m:oMath>
                        <m:oMath>
                          <m:r>
                            <w:rPr>
                              <w:rFonts w:ascii="Cambria Math" w:eastAsia="Times New Roman"/>
                              <w:noProof/>
                            </w:rPr>
                            <m:t>l=0</m:t>
                          </m:r>
                          <m:r>
                            <w:rPr>
                              <w:rFonts w:ascii="Cambria Math" w:eastAsia="Times New Roman"/>
                              <w:noProof/>
                            </w:rPr>
                            <w:br/>
                          </m:r>
                        </m:oMath>
                        <m:oMath>
                          <m:r>
                            <w:rPr>
                              <w:rFonts w:ascii="Cambria Math" w:eastAsia="Times New Roman"/>
                              <w:noProof/>
                            </w:rPr>
                            <m:t>m=0,1,...,24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Times New Roman"/>
                                  <w:i/>
                                  <w:noProof/>
                                  <w:color w:val="FF000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Times New Roman"/>
                                  <w:noProof/>
                                  <w:color w:val="FF0000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Times New Roman"/>
                                  <w:noProof/>
                                  <w:color w:val="FF0000"/>
                                </w:rPr>
                                <m:t>RB</m:t>
                              </m:r>
                              <m:ctrlPr>
                                <w:rPr>
                                  <w:rFonts w:ascii="Cambria Math" w:eastAsia="Times New Roman"/>
                                  <w:noProof/>
                                  <w:color w:val="FF0000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Times New Roman"/>
                                  <w:noProof/>
                                  <w:color w:val="FF0000"/>
                                </w:rPr>
                                <m:t>DL</m:t>
                              </m:r>
                              <m:ctrlPr>
                                <w:rPr>
                                  <w:rFonts w:ascii="Cambria Math" w:eastAsia="Times New Roman"/>
                                  <w:noProof/>
                                  <w:color w:val="FF0000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eastAsia="Times New Roman"/>
                              <w:noProof/>
                            </w:rPr>
                            <m:t>-</m:t>
                          </m:r>
                          <m:r>
                            <w:rPr>
                              <w:rFonts w:ascii="Cambria Math" w:eastAsia="Times New Roman"/>
                              <w:noProof/>
                            </w:rPr>
                            <m:t>1</m:t>
                          </m:r>
                          <m:r>
                            <w:rPr>
                              <w:rFonts w:ascii="Cambria Math" w:eastAsia="Times New Roman"/>
                              <w:noProof/>
                            </w:rPr>
                            <w:br/>
                          </m:r>
                        </m:oMath>
                        <m:oMath>
                          <m:sSup>
                            <m:sSupPr>
                              <m:ctrlPr>
                                <w:rPr>
                                  <w:rFonts w:ascii="Cambria Math" w:eastAsia="Times New Roman"/>
                                  <w:i/>
                                  <w:noProof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/>
                                  <w:noProof/>
                                </w:rPr>
                                <m:t>m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/>
                                  <w:noProof/>
                                </w:rPr>
                                <m:t>'</m:t>
                              </m: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noProof/>
                                </w:rPr>
                              </m:ctrlPr>
                            </m:sup>
                          </m:sSup>
                          <m:r>
                            <w:rPr>
                              <w:rFonts w:ascii="Cambria Math" w:eastAsia="Times New Roman"/>
                              <w:noProof/>
                            </w:rPr>
                            <m:t>=m+3</m:t>
                          </m:r>
                          <m:d>
                            <m:dPr>
                              <m:ctrlPr>
                                <w:rPr>
                                  <w:rFonts w:ascii="Cambria Math" w:eastAsia="Times New Roman"/>
                                  <w:i/>
                                  <w:noProof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="Times New Roman"/>
                                      <w:i/>
                                      <w:noProof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Times New Roman"/>
                                      <w:noProof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Times New Roman"/>
                                      <w:noProof/>
                                    </w:rPr>
                                    <m:t>RB</m:t>
                                  </m:r>
                                  <m:ctrlPr>
                                    <w:rPr>
                                      <w:rFonts w:ascii="Cambria Math" w:eastAsia="Times New Roman"/>
                                      <w:noProof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Times New Roman"/>
                                      <w:noProof/>
                                    </w:rPr>
                                    <m:t>max,DL</m:t>
                                  </m:r>
                                  <m:ctrlPr>
                                    <w:rPr>
                                      <w:rFonts w:ascii="Cambria Math" w:eastAsia="Times New Roman"/>
                                      <w:noProof/>
                                    </w:rPr>
                                  </m:ctrlPr>
                                </m:sup>
                              </m:sSubSup>
                              <m:r>
                                <w:rPr>
                                  <w:rFonts w:ascii="Cambria Math" w:eastAsia="Times New Roman"/>
                                  <w:noProof/>
                                </w:rPr>
                                <m:t>-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Times New Roman"/>
                                      <w:i/>
                                      <w:noProof/>
                                      <w:color w:val="FF000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Times New Roman"/>
                                      <w:noProof/>
                                      <w:color w:val="FF000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Times New Roman"/>
                                      <w:noProof/>
                                      <w:color w:val="FF0000"/>
                                    </w:rPr>
                                    <m:t>RB</m:t>
                                  </m:r>
                                  <m:ctrlPr>
                                    <w:rPr>
                                      <w:rFonts w:ascii="Cambria Math" w:eastAsia="Times New Roman"/>
                                      <w:noProof/>
                                      <w:color w:val="FF0000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Times New Roman"/>
                                      <w:noProof/>
                                      <w:color w:val="FF0000"/>
                                    </w:rPr>
                                    <m:t>DL</m:t>
                                  </m:r>
                                  <m:ctrlPr>
                                    <w:rPr>
                                      <w:rFonts w:ascii="Cambria Math" w:eastAsia="Times New Roman"/>
                                      <w:noProof/>
                                      <w:color w:val="FF0000"/>
                                    </w:rPr>
                                  </m:ctrlPr>
                                </m:sup>
                              </m:sSubSup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noProof/>
                                </w:rPr>
                              </m:ctrlPr>
                            </m:e>
                          </m:d>
                        </m:oMath>
                      </m:oMathPara>
                    </w:p>
                    <w:p w14:paraId="36A657D4" w14:textId="0B8F6B51" w:rsidR="00DC4D49" w:rsidRDefault="00DC4D49"/>
                  </w:txbxContent>
                </v:textbox>
                <w10:anchorlock/>
              </v:shape>
            </w:pict>
          </mc:Fallback>
        </mc:AlternateContent>
      </w:r>
    </w:p>
    <w:p w14:paraId="16B353B7" w14:textId="2D877814" w:rsidR="00DC4D49" w:rsidRDefault="0050125C" w:rsidP="003918A6">
      <w:pPr>
        <w:rPr>
          <w:lang w:val="en-US"/>
        </w:rPr>
      </w:pPr>
      <w:r>
        <w:rPr>
          <w:lang w:val="en-US"/>
        </w:rPr>
        <w:t>When 6/7/8MHz are configured for PMCH, this value should be replaced by the corresponding configured bandwidth.</w:t>
      </w:r>
    </w:p>
    <w:p w14:paraId="5133C364" w14:textId="1D38B91D" w:rsidR="00DC4D49" w:rsidRDefault="00DC4D49" w:rsidP="003918A6">
      <w:pPr>
        <w:rPr>
          <w:b/>
          <w:bCs/>
          <w:lang w:eastAsia="en-GB"/>
        </w:rPr>
      </w:pPr>
      <w:r w:rsidRPr="00DC4D49">
        <w:rPr>
          <w:b/>
          <w:bCs/>
          <w:u w:val="single"/>
          <w:lang w:val="en-US"/>
        </w:rPr>
        <w:t>Proposal 4:</w:t>
      </w:r>
      <w:r>
        <w:rPr>
          <w:b/>
          <w:bCs/>
          <w:lang w:val="en-US"/>
        </w:rPr>
        <w:t xml:space="preserve"> In the equations for determining the MBSFN-RS </w:t>
      </w:r>
      <w:r w:rsidR="0050125C">
        <w:rPr>
          <w:b/>
          <w:bCs/>
          <w:lang w:val="en-US"/>
        </w:rPr>
        <w:t>mapping to resource elements</w:t>
      </w:r>
      <w:r>
        <w:rPr>
          <w:b/>
          <w:bCs/>
          <w:lang w:val="en-US"/>
        </w:rPr>
        <w:t xml:space="preserve">,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lang w:eastAsia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RB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DL</m:t>
            </m:r>
          </m:sup>
        </m:sSubSup>
      </m:oMath>
      <w:r>
        <w:rPr>
          <w:b/>
          <w:bCs/>
          <w:lang w:eastAsia="en-GB"/>
        </w:rPr>
        <w:t xml:space="preserve"> is replaced by the configured bandwidth for PMCH.</w:t>
      </w:r>
      <w:r w:rsidR="0050125C">
        <w:rPr>
          <w:b/>
          <w:bCs/>
          <w:lang w:eastAsia="en-GB"/>
        </w:rPr>
        <w:br/>
      </w:r>
    </w:p>
    <w:p w14:paraId="620D7109" w14:textId="55DD39EF" w:rsidR="0050125C" w:rsidRDefault="0050125C" w:rsidP="0050125C">
      <w:pPr>
        <w:pStyle w:val="Heading2"/>
        <w:rPr>
          <w:lang w:val="en-US"/>
        </w:rPr>
      </w:pPr>
      <w:r>
        <w:rPr>
          <w:lang w:val="en-US"/>
        </w:rPr>
        <w:t>RAN4 requirements</w:t>
      </w:r>
    </w:p>
    <w:p w14:paraId="54D09C6A" w14:textId="4BD749D8" w:rsidR="0050125C" w:rsidRDefault="0050125C" w:rsidP="003918A6">
      <w:pPr>
        <w:rPr>
          <w:lang w:val="en-US"/>
        </w:rPr>
      </w:pPr>
      <w:r>
        <w:rPr>
          <w:lang w:val="en-US"/>
        </w:rPr>
        <w:t xml:space="preserve">We would like to highlight that the </w:t>
      </w:r>
      <w:r w:rsidRPr="0050125C">
        <w:rPr>
          <w:lang w:val="en-US"/>
        </w:rPr>
        <w:t>RAN4 requirements</w:t>
      </w:r>
      <w:r>
        <w:rPr>
          <w:lang w:val="en-US"/>
        </w:rPr>
        <w:t xml:space="preserve"> for the new bandwidth of 6/7/8MHz will be developed in Rel-18 timeframe in a release independent manner (from Rel-17). The approved work item, which is scheduled to start after Q2’22, is approved in [3].</w:t>
      </w:r>
    </w:p>
    <w:p w14:paraId="685D9F9B" w14:textId="77777777" w:rsidR="0050125C" w:rsidRPr="0050125C" w:rsidRDefault="0050125C" w:rsidP="003918A6">
      <w:pPr>
        <w:rPr>
          <w:lang w:val="en-US"/>
        </w:rPr>
      </w:pPr>
    </w:p>
    <w:p w14:paraId="6292E4CE" w14:textId="48C227AD" w:rsidR="00142658" w:rsidRDefault="00142658" w:rsidP="00142658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Conclusions</w:t>
      </w:r>
    </w:p>
    <w:p w14:paraId="02D5E3DA" w14:textId="31B3AA00" w:rsidR="00142658" w:rsidRDefault="0050125C" w:rsidP="003918A6">
      <w:pPr>
        <w:rPr>
          <w:lang w:val="en-US"/>
        </w:rPr>
      </w:pPr>
      <w:r>
        <w:rPr>
          <w:lang w:val="en-US"/>
        </w:rPr>
        <w:t>In this contribution we presented our views on how to specify the bandwidth allocation of 6/7/8MHz for PMCH. We made the following proposals:</w:t>
      </w:r>
    </w:p>
    <w:p w14:paraId="2AF95CDC" w14:textId="7E433F82" w:rsidR="00BF1A15" w:rsidRDefault="00BF1A15" w:rsidP="00BF1A15">
      <w:pPr>
        <w:rPr>
          <w:b/>
          <w:bCs/>
          <w:lang w:val="en-US"/>
        </w:rPr>
      </w:pPr>
      <w:r w:rsidRPr="00862709">
        <w:rPr>
          <w:b/>
          <w:bCs/>
          <w:u w:val="single"/>
          <w:lang w:val="en-US"/>
        </w:rPr>
        <w:t>Proposal</w:t>
      </w:r>
      <w:r>
        <w:rPr>
          <w:b/>
          <w:bCs/>
          <w:u w:val="single"/>
          <w:lang w:val="en-US"/>
        </w:rPr>
        <w:t xml:space="preserve"> 1</w:t>
      </w:r>
      <w:r w:rsidRPr="00862709">
        <w:rPr>
          <w:b/>
          <w:bCs/>
          <w:u w:val="single"/>
          <w:lang w:val="en-US"/>
        </w:rPr>
        <w:t>:</w:t>
      </w:r>
      <w:r w:rsidRPr="00862709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For supporting 6/7/8MHz PMCH bandwidth, the initial acquisition and system information acquisition is performed over a 5MHz bandwidth.</w:t>
      </w:r>
    </w:p>
    <w:p w14:paraId="74E849F9" w14:textId="77777777" w:rsidR="00BF1A15" w:rsidRDefault="00BF1A15" w:rsidP="00BF1A15">
      <w:pPr>
        <w:rPr>
          <w:b/>
          <w:bCs/>
          <w:lang w:val="en-US"/>
        </w:rPr>
      </w:pPr>
    </w:p>
    <w:p w14:paraId="3B6C3F2F" w14:textId="77777777" w:rsidR="00BF1A15" w:rsidRDefault="00BF1A15" w:rsidP="00BF1A15">
      <w:pPr>
        <w:rPr>
          <w:b/>
          <w:bCs/>
          <w:lang w:eastAsia="en-GB"/>
        </w:rPr>
      </w:pPr>
      <w:r w:rsidRPr="0001213F">
        <w:rPr>
          <w:b/>
          <w:bCs/>
          <w:u w:val="single"/>
          <w:lang w:val="en-US"/>
        </w:rPr>
        <w:lastRenderedPageBreak/>
        <w:t>Proposal 2:</w:t>
      </w:r>
      <w:r>
        <w:rPr>
          <w:b/>
          <w:bCs/>
          <w:lang w:val="en-US"/>
        </w:rPr>
        <w:t xml:space="preserve"> </w:t>
      </w:r>
      <w:r w:rsidRPr="00862709">
        <w:rPr>
          <w:b/>
          <w:bCs/>
          <w:lang w:val="en-US"/>
        </w:rPr>
        <w:t xml:space="preserve">Allow configuring PMCH bandwidth </w:t>
      </w:r>
      <w:r>
        <w:rPr>
          <w:b/>
          <w:bCs/>
          <w:lang w:val="en-US"/>
        </w:rPr>
        <w:t>larger</w:t>
      </w:r>
      <w:r w:rsidRPr="00862709">
        <w:rPr>
          <w:b/>
          <w:bCs/>
          <w:lang w:val="en-US"/>
        </w:rPr>
        <w:t xml:space="preserve"> than the system bandwidth</w:t>
      </w:r>
      <w:r>
        <w:rPr>
          <w:b/>
          <w:bCs/>
          <w:lang w:val="en-US"/>
        </w:rPr>
        <w:t xml:space="preserve"> indicated by MIB</w:t>
      </w:r>
      <w:r w:rsidRPr="00862709">
        <w:rPr>
          <w:b/>
          <w:bCs/>
          <w:lang w:eastAsia="en-GB"/>
        </w:rPr>
        <w:t xml:space="preserve">. The following </w:t>
      </w:r>
      <w:r>
        <w:rPr>
          <w:b/>
          <w:bCs/>
          <w:lang w:eastAsia="en-GB"/>
        </w:rPr>
        <w:t xml:space="preserve">PMCH bandwidth values are supported for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lang w:eastAsia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RB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DL</m:t>
            </m:r>
          </m:sup>
        </m:sSubSup>
        <m:r>
          <m:rPr>
            <m:sty m:val="bi"/>
          </m:rPr>
          <w:rPr>
            <w:rFonts w:ascii="Cambria Math" w:hAnsi="Cambria Math"/>
            <w:lang w:eastAsia="en-GB"/>
          </w:rPr>
          <m:t>=25</m:t>
        </m:r>
      </m:oMath>
      <w:r w:rsidRPr="00B53D45">
        <w:rPr>
          <w:b/>
          <w:bCs/>
          <w:lang w:eastAsia="en-GB"/>
        </w:rPr>
        <w:t xml:space="preserve"> </w:t>
      </w:r>
      <w:r>
        <w:rPr>
          <w:b/>
          <w:bCs/>
          <w:lang w:eastAsia="en-GB"/>
        </w:rPr>
        <w:t>(5MHz system bandwidth)</w:t>
      </w:r>
      <w:r w:rsidRPr="00B53D45">
        <w:rPr>
          <w:b/>
          <w:bCs/>
          <w:lang w:eastAsia="en-GB"/>
        </w:rPr>
        <w:t>:</w:t>
      </w:r>
    </w:p>
    <w:p w14:paraId="42C0D10E" w14:textId="77777777" w:rsidR="00BF1A15" w:rsidRPr="00DD15B2" w:rsidRDefault="00BF1A15" w:rsidP="00BF1A15">
      <w:pPr>
        <w:pStyle w:val="ListParagraph"/>
        <w:numPr>
          <w:ilvl w:val="0"/>
          <w:numId w:val="30"/>
        </w:numPr>
        <w:rPr>
          <w:b/>
          <w:bCs/>
          <w:lang w:val="en-US"/>
        </w:rPr>
      </w:pPr>
      <w:r w:rsidRPr="00DD15B2">
        <w:rPr>
          <w:b/>
          <w:bCs/>
          <w:lang w:val="en-US" w:eastAsia="en-GB"/>
        </w:rPr>
        <w:t xml:space="preserve">8MHz: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PRB</m:t>
            </m:r>
          </m:sub>
        </m:sSub>
        <m:r>
          <m:rPr>
            <m:sty m:val="bi"/>
          </m:rPr>
          <w:rPr>
            <w:rFonts w:ascii="Cambria Math" w:hAnsi="Cambria Math"/>
            <w:lang w:eastAsia="en-GB"/>
          </w:rPr>
          <m:t>=40</m:t>
        </m:r>
      </m:oMath>
    </w:p>
    <w:p w14:paraId="7A20DDE6" w14:textId="77777777" w:rsidR="00BF1A15" w:rsidRPr="00DD15B2" w:rsidRDefault="00BF1A15" w:rsidP="00BF1A15">
      <w:pPr>
        <w:pStyle w:val="ListParagraph"/>
        <w:numPr>
          <w:ilvl w:val="0"/>
          <w:numId w:val="30"/>
        </w:numPr>
        <w:rPr>
          <w:b/>
          <w:bCs/>
          <w:lang w:val="en-US"/>
        </w:rPr>
      </w:pPr>
      <w:r w:rsidRPr="00DD15B2">
        <w:rPr>
          <w:b/>
          <w:bCs/>
          <w:lang w:val="en-US" w:eastAsia="en-GB"/>
        </w:rPr>
        <w:t xml:space="preserve">7MHz: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PRB</m:t>
            </m:r>
          </m:sub>
        </m:sSub>
        <m:r>
          <m:rPr>
            <m:sty m:val="bi"/>
          </m:rPr>
          <w:rPr>
            <w:rFonts w:ascii="Cambria Math" w:hAnsi="Cambria Math"/>
            <w:lang w:eastAsia="en-GB"/>
          </w:rPr>
          <m:t>=35</m:t>
        </m:r>
      </m:oMath>
    </w:p>
    <w:p w14:paraId="59EDBC43" w14:textId="77777777" w:rsidR="00BF1A15" w:rsidRPr="0001213F" w:rsidRDefault="00BF1A15" w:rsidP="00BF1A15">
      <w:pPr>
        <w:pStyle w:val="ListParagraph"/>
        <w:numPr>
          <w:ilvl w:val="0"/>
          <w:numId w:val="30"/>
        </w:numPr>
        <w:rPr>
          <w:b/>
          <w:bCs/>
          <w:lang w:val="en-US"/>
        </w:rPr>
      </w:pPr>
      <w:r w:rsidRPr="00DD15B2">
        <w:rPr>
          <w:b/>
          <w:bCs/>
          <w:lang w:val="en-US"/>
        </w:rPr>
        <w:t xml:space="preserve">6MHz: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PRB</m:t>
            </m:r>
          </m:sub>
        </m:sSub>
        <m:r>
          <m:rPr>
            <m:sty m:val="bi"/>
          </m:rPr>
          <w:rPr>
            <w:rFonts w:ascii="Cambria Math" w:hAnsi="Cambria Math"/>
            <w:lang w:eastAsia="en-GB"/>
          </w:rPr>
          <m:t>=30</m:t>
        </m:r>
      </m:oMath>
    </w:p>
    <w:p w14:paraId="105C2BFC" w14:textId="77777777" w:rsidR="00BF1A15" w:rsidRDefault="00BF1A15" w:rsidP="00BF1A15">
      <w:pPr>
        <w:pStyle w:val="ListParagraph"/>
        <w:rPr>
          <w:b/>
          <w:bCs/>
          <w:lang w:val="en-US"/>
        </w:rPr>
      </w:pPr>
    </w:p>
    <w:p w14:paraId="3B102DA0" w14:textId="4CC9E8E7" w:rsidR="00BF1A15" w:rsidRPr="00DD15B2" w:rsidRDefault="00BF1A15" w:rsidP="00BF1A15">
      <w:pPr>
        <w:pStyle w:val="ListParagraph"/>
        <w:ind w:left="0"/>
        <w:rPr>
          <w:b/>
          <w:bCs/>
          <w:lang w:val="en-US"/>
        </w:rPr>
      </w:pPr>
      <w:r>
        <w:rPr>
          <w:b/>
          <w:bCs/>
          <w:lang w:val="en-US"/>
        </w:rPr>
        <w:t>The PMCH bandwidth and 5MHz system bandwidth are centered around the same frequency.</w:t>
      </w:r>
    </w:p>
    <w:p w14:paraId="0C8B0998" w14:textId="77777777" w:rsidR="00BF1A15" w:rsidRDefault="00BF1A15" w:rsidP="00BF1A15">
      <w:pPr>
        <w:rPr>
          <w:b/>
          <w:bCs/>
          <w:u w:val="single"/>
          <w:lang w:val="en-US"/>
        </w:rPr>
      </w:pPr>
    </w:p>
    <w:p w14:paraId="4CFBB4D4" w14:textId="77777777" w:rsidR="00BF1A15" w:rsidRPr="0001213F" w:rsidRDefault="00BF1A15" w:rsidP="00BF1A15">
      <w:pPr>
        <w:rPr>
          <w:b/>
          <w:bCs/>
          <w:lang w:val="en-US"/>
        </w:rPr>
      </w:pPr>
      <w:r w:rsidRPr="0001213F">
        <w:rPr>
          <w:b/>
          <w:bCs/>
          <w:u w:val="single"/>
          <w:lang w:val="en-US"/>
        </w:rPr>
        <w:t>Proposal 3:</w:t>
      </w:r>
      <w:r>
        <w:rPr>
          <w:b/>
          <w:bCs/>
          <w:lang w:val="en-US"/>
        </w:rPr>
        <w:t xml:space="preserve"> The UE uses the configured bandwidth (30/35/40 PRBs) to determine the TBS as per TS 36.213, Subclause 11.1</w:t>
      </w:r>
    </w:p>
    <w:p w14:paraId="548D9CE3" w14:textId="2DF07F7D" w:rsidR="0050125C" w:rsidRDefault="0050125C" w:rsidP="003918A6">
      <w:pPr>
        <w:rPr>
          <w:rFonts w:ascii="Calibri Light" w:hAnsi="Calibri Light"/>
          <w:b/>
          <w:bCs/>
          <w:i/>
          <w:iCs/>
          <w:sz w:val="28"/>
          <w:szCs w:val="28"/>
          <w:lang w:val="en-US"/>
        </w:rPr>
      </w:pPr>
    </w:p>
    <w:p w14:paraId="7E579CAC" w14:textId="02227085" w:rsidR="00BF1A15" w:rsidRPr="00BF1A15" w:rsidRDefault="00BF1A15" w:rsidP="003918A6">
      <w:pPr>
        <w:rPr>
          <w:rFonts w:ascii="Calibri Light" w:hAnsi="Calibri Light"/>
          <w:b/>
          <w:bCs/>
          <w:i/>
          <w:iCs/>
          <w:sz w:val="28"/>
          <w:szCs w:val="28"/>
          <w:lang w:val="en-US"/>
        </w:rPr>
      </w:pPr>
      <w:r w:rsidRPr="00DC4D49">
        <w:rPr>
          <w:b/>
          <w:bCs/>
          <w:u w:val="single"/>
          <w:lang w:val="en-US"/>
        </w:rPr>
        <w:t>Proposal 4:</w:t>
      </w:r>
      <w:r>
        <w:rPr>
          <w:b/>
          <w:bCs/>
          <w:lang w:val="en-US"/>
        </w:rPr>
        <w:t xml:space="preserve"> In the equations for determining the MBSFN-RS mapping to resource elements,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lang w:eastAsia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RB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DL</m:t>
            </m:r>
          </m:sup>
        </m:sSubSup>
      </m:oMath>
      <w:r>
        <w:rPr>
          <w:b/>
          <w:bCs/>
          <w:lang w:eastAsia="en-GB"/>
        </w:rPr>
        <w:t xml:space="preserve"> is replaced by the configured bandwidth for PMCH.</w:t>
      </w:r>
    </w:p>
    <w:p w14:paraId="1AA3DCA1" w14:textId="1B53C510" w:rsidR="00142658" w:rsidRDefault="00142658" w:rsidP="003918A6">
      <w:pPr>
        <w:rPr>
          <w:rFonts w:ascii="Calibri Light" w:hAnsi="Calibri Light"/>
          <w:b/>
          <w:bCs/>
          <w:i/>
          <w:iCs/>
          <w:sz w:val="28"/>
          <w:szCs w:val="28"/>
        </w:rPr>
      </w:pPr>
    </w:p>
    <w:p w14:paraId="764CC15F" w14:textId="46B49424" w:rsidR="00142658" w:rsidRDefault="00142658" w:rsidP="00142658">
      <w:pPr>
        <w:pStyle w:val="Heading1"/>
        <w:jc w:val="both"/>
      </w:pPr>
      <w:r>
        <w:t>References</w:t>
      </w:r>
    </w:p>
    <w:p w14:paraId="77BBAF9B" w14:textId="5D1880AD" w:rsidR="00142658" w:rsidRPr="00142658" w:rsidRDefault="00142658" w:rsidP="003918A6">
      <w:r w:rsidRPr="00142658">
        <w:t>[1]</w:t>
      </w:r>
      <w:r>
        <w:t xml:space="preserve"> </w:t>
      </w:r>
      <w:r w:rsidR="0050125C" w:rsidRPr="003918A6">
        <w:t>RP-211144</w:t>
      </w:r>
      <w:r w:rsidR="0050125C">
        <w:t>, “</w:t>
      </w:r>
      <w:r w:rsidR="0050125C" w:rsidRPr="0050125C">
        <w:t>Revised WID: New bands and bandwidth allocation for LTE based 5G terrestrial broadcast - part 1</w:t>
      </w:r>
      <w:r w:rsidR="0050125C">
        <w:t>”, EBU, Qualcomm</w:t>
      </w:r>
    </w:p>
    <w:p w14:paraId="2A0B8886" w14:textId="27A080CF" w:rsidR="00142658" w:rsidRDefault="00142658" w:rsidP="003918A6">
      <w:r w:rsidRPr="00142658">
        <w:t>[2]</w:t>
      </w:r>
      <w:r>
        <w:t xml:space="preserve"> </w:t>
      </w:r>
      <w:r w:rsidR="0050125C" w:rsidRPr="0050125C">
        <w:t>RP-202210</w:t>
      </w:r>
      <w:r w:rsidR="0050125C">
        <w:t>, “</w:t>
      </w:r>
      <w:r w:rsidR="0050125C" w:rsidRPr="0050125C">
        <w:t>Support of flexible bandwidth for MBMS</w:t>
      </w:r>
      <w:r w:rsidR="0050125C">
        <w:t>”, EBU et al.</w:t>
      </w:r>
    </w:p>
    <w:p w14:paraId="537A4C4E" w14:textId="7B841216" w:rsidR="0050125C" w:rsidRPr="0050125C" w:rsidRDefault="0050125C" w:rsidP="003918A6">
      <w:pPr>
        <w:rPr>
          <w:lang w:val="en-US"/>
        </w:rPr>
      </w:pPr>
      <w:r>
        <w:t>[3] RP-211145, “</w:t>
      </w:r>
      <w:r w:rsidRPr="0050125C">
        <w:t>New WID: New bands and bandwidth allocation for LTE based 5G terrestrial broadcast - part 2</w:t>
      </w:r>
      <w:r>
        <w:t>”, EBU, Qualcomm</w:t>
      </w:r>
    </w:p>
    <w:sectPr w:rsidR="0050125C" w:rsidRPr="0050125C" w:rsidSect="00D64908">
      <w:headerReference w:type="even" r:id="rId34"/>
      <w:footerReference w:type="even" r:id="rId35"/>
      <w:footerReference w:type="defaul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DC7CB" w14:textId="77777777" w:rsidR="002F7BF9" w:rsidRDefault="002F7BF9">
      <w:pPr>
        <w:spacing w:after="0"/>
      </w:pPr>
      <w:r>
        <w:separator/>
      </w:r>
    </w:p>
  </w:endnote>
  <w:endnote w:type="continuationSeparator" w:id="0">
    <w:p w14:paraId="1E931DB8" w14:textId="77777777" w:rsidR="002F7BF9" w:rsidRDefault="002F7B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1611D" w14:textId="77777777" w:rsidR="00AE71FE" w:rsidRDefault="00AE71FE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83FA" w14:textId="77777777" w:rsidR="00AE71FE" w:rsidRDefault="00AE71FE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E5EFF" w14:textId="77777777" w:rsidR="00AE71FE" w:rsidRDefault="00AE71FE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06487" w14:textId="77777777" w:rsidR="002F7BF9" w:rsidRDefault="002F7BF9">
      <w:pPr>
        <w:spacing w:after="0"/>
      </w:pPr>
      <w:r>
        <w:separator/>
      </w:r>
    </w:p>
  </w:footnote>
  <w:footnote w:type="continuationSeparator" w:id="0">
    <w:p w14:paraId="12B7821F" w14:textId="77777777" w:rsidR="002F7BF9" w:rsidRDefault="002F7B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2296E" w14:textId="77777777" w:rsidR="00AE71FE" w:rsidRDefault="00AE71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9" type="#_x0000_t75" style="width:15.75pt;height:15.75pt" o:bullet="t">
        <v:imagedata r:id="rId1" o:title="artADB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AF62ADD"/>
    <w:multiLevelType w:val="hybridMultilevel"/>
    <w:tmpl w:val="6DB64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B7E6E"/>
    <w:multiLevelType w:val="hybridMultilevel"/>
    <w:tmpl w:val="B1F6C862"/>
    <w:lvl w:ilvl="0" w:tplc="016604A8">
      <w:numFmt w:val="bullet"/>
      <w:lvlText w:val="-"/>
      <w:lvlJc w:val="left"/>
      <w:pPr>
        <w:ind w:left="720" w:hanging="720"/>
      </w:pPr>
      <w:rPr>
        <w:rFonts w:ascii="Times New Roman" w:eastAsia="SimSun" w:hAnsi="Times New Roman" w:cs="Times New Roman" w:hint="default"/>
      </w:rPr>
    </w:lvl>
    <w:lvl w:ilvl="1" w:tplc="972AB976">
      <w:numFmt w:val="bullet"/>
      <w:lvlText w:val=""/>
      <w:lvlJc w:val="left"/>
      <w:pPr>
        <w:ind w:left="1440" w:hanging="72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3443C4"/>
    <w:multiLevelType w:val="hybridMultilevel"/>
    <w:tmpl w:val="9D346F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A838A6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47CAB"/>
    <w:multiLevelType w:val="hybridMultilevel"/>
    <w:tmpl w:val="0DD063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50CAE"/>
    <w:multiLevelType w:val="hybridMultilevel"/>
    <w:tmpl w:val="1E086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81069"/>
    <w:multiLevelType w:val="hybridMultilevel"/>
    <w:tmpl w:val="C9C8703E"/>
    <w:lvl w:ilvl="0" w:tplc="B5A4F7B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EC0D3D"/>
    <w:multiLevelType w:val="hybridMultilevel"/>
    <w:tmpl w:val="FF68D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B5187"/>
    <w:multiLevelType w:val="hybridMultilevel"/>
    <w:tmpl w:val="FFF64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519CB"/>
    <w:multiLevelType w:val="hybridMultilevel"/>
    <w:tmpl w:val="6CCEA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531E7"/>
    <w:multiLevelType w:val="hybridMultilevel"/>
    <w:tmpl w:val="8104E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CD0200"/>
    <w:multiLevelType w:val="hybridMultilevel"/>
    <w:tmpl w:val="C0760CD6"/>
    <w:lvl w:ilvl="0" w:tplc="016604A8">
      <w:numFmt w:val="bullet"/>
      <w:lvlText w:val="-"/>
      <w:lvlJc w:val="left"/>
      <w:pPr>
        <w:ind w:left="144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1272C91"/>
    <w:multiLevelType w:val="hybridMultilevel"/>
    <w:tmpl w:val="CA3A9B12"/>
    <w:lvl w:ilvl="0" w:tplc="69F2C5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515462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C8E21A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3C8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F2AE9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2BFCB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5C3CF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6CA1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FC6AFA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5" w15:restartNumberingAfterBreak="0">
    <w:nsid w:val="44036BF8"/>
    <w:multiLevelType w:val="hybridMultilevel"/>
    <w:tmpl w:val="2F60D3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AB4133"/>
    <w:multiLevelType w:val="hybridMultilevel"/>
    <w:tmpl w:val="09C059FC"/>
    <w:lvl w:ilvl="0" w:tplc="04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CA0E42"/>
    <w:multiLevelType w:val="hybridMultilevel"/>
    <w:tmpl w:val="5FC47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AD4FB6"/>
    <w:multiLevelType w:val="hybridMultilevel"/>
    <w:tmpl w:val="940C2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134CCF"/>
    <w:multiLevelType w:val="hybridMultilevel"/>
    <w:tmpl w:val="6DB64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AA1F8A"/>
    <w:multiLevelType w:val="hybridMultilevel"/>
    <w:tmpl w:val="A16E63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D920D9"/>
    <w:multiLevelType w:val="hybridMultilevel"/>
    <w:tmpl w:val="803A905E"/>
    <w:lvl w:ilvl="0" w:tplc="23D896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00438"/>
    <w:multiLevelType w:val="hybridMultilevel"/>
    <w:tmpl w:val="592ECD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0F3ACF"/>
    <w:multiLevelType w:val="hybridMultilevel"/>
    <w:tmpl w:val="6DB64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CB2C16"/>
    <w:multiLevelType w:val="hybridMultilevel"/>
    <w:tmpl w:val="204A3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3E6195"/>
    <w:multiLevelType w:val="hybridMultilevel"/>
    <w:tmpl w:val="DEAE6DB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CD6489"/>
    <w:multiLevelType w:val="hybridMultilevel"/>
    <w:tmpl w:val="405E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002BE"/>
    <w:multiLevelType w:val="hybridMultilevel"/>
    <w:tmpl w:val="CC461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277434"/>
    <w:multiLevelType w:val="hybridMultilevel"/>
    <w:tmpl w:val="A4D29E4C"/>
    <w:lvl w:ilvl="0" w:tplc="699E382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9EC091C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B24DF0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C0FE5F2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53D6A07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EA043E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2DAEB62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7E4A5EA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E634D44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2" w15:restartNumberingAfterBreak="0">
    <w:nsid w:val="7EE6103E"/>
    <w:multiLevelType w:val="hybridMultilevel"/>
    <w:tmpl w:val="592ECD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20"/>
  </w:num>
  <w:num w:numId="4">
    <w:abstractNumId w:val="8"/>
  </w:num>
  <w:num w:numId="5">
    <w:abstractNumId w:val="4"/>
  </w:num>
  <w:num w:numId="6">
    <w:abstractNumId w:val="29"/>
  </w:num>
  <w:num w:numId="7">
    <w:abstractNumId w:val="30"/>
  </w:num>
  <w:num w:numId="8">
    <w:abstractNumId w:val="9"/>
  </w:num>
  <w:num w:numId="9">
    <w:abstractNumId w:val="7"/>
  </w:num>
  <w:num w:numId="10">
    <w:abstractNumId w:val="11"/>
  </w:num>
  <w:num w:numId="11">
    <w:abstractNumId w:val="15"/>
  </w:num>
  <w:num w:numId="12">
    <w:abstractNumId w:val="24"/>
  </w:num>
  <w:num w:numId="13">
    <w:abstractNumId w:val="22"/>
  </w:num>
  <w:num w:numId="14">
    <w:abstractNumId w:val="26"/>
  </w:num>
  <w:num w:numId="15">
    <w:abstractNumId w:val="23"/>
  </w:num>
  <w:num w:numId="16">
    <w:abstractNumId w:val="32"/>
  </w:num>
  <w:num w:numId="17">
    <w:abstractNumId w:val="25"/>
  </w:num>
  <w:num w:numId="18">
    <w:abstractNumId w:val="2"/>
  </w:num>
  <w:num w:numId="19">
    <w:abstractNumId w:val="18"/>
  </w:num>
  <w:num w:numId="20">
    <w:abstractNumId w:val="28"/>
  </w:num>
  <w:num w:numId="21">
    <w:abstractNumId w:val="5"/>
  </w:num>
  <w:num w:numId="22">
    <w:abstractNumId w:val="14"/>
  </w:num>
  <w:num w:numId="23">
    <w:abstractNumId w:val="31"/>
  </w:num>
  <w:num w:numId="24">
    <w:abstractNumId w:val="6"/>
  </w:num>
  <w:num w:numId="25">
    <w:abstractNumId w:val="3"/>
  </w:num>
  <w:num w:numId="26">
    <w:abstractNumId w:val="13"/>
  </w:num>
  <w:num w:numId="27">
    <w:abstractNumId w:val="16"/>
  </w:num>
  <w:num w:numId="28">
    <w:abstractNumId w:val="12"/>
  </w:num>
  <w:num w:numId="29">
    <w:abstractNumId w:val="27"/>
  </w:num>
  <w:num w:numId="30">
    <w:abstractNumId w:val="10"/>
  </w:num>
  <w:num w:numId="31">
    <w:abstractNumId w:val="19"/>
  </w:num>
  <w:num w:numId="32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908"/>
    <w:rsid w:val="00001616"/>
    <w:rsid w:val="000028A0"/>
    <w:rsid w:val="00003495"/>
    <w:rsid w:val="000038FD"/>
    <w:rsid w:val="000050A1"/>
    <w:rsid w:val="0001213F"/>
    <w:rsid w:val="00014464"/>
    <w:rsid w:val="00017C3E"/>
    <w:rsid w:val="00020376"/>
    <w:rsid w:val="000223E0"/>
    <w:rsid w:val="00022E30"/>
    <w:rsid w:val="000255B6"/>
    <w:rsid w:val="00027BE9"/>
    <w:rsid w:val="00032375"/>
    <w:rsid w:val="00033921"/>
    <w:rsid w:val="00042F52"/>
    <w:rsid w:val="000436C9"/>
    <w:rsid w:val="00043D9B"/>
    <w:rsid w:val="000451AA"/>
    <w:rsid w:val="000477DB"/>
    <w:rsid w:val="000504A9"/>
    <w:rsid w:val="000504E4"/>
    <w:rsid w:val="00051B4F"/>
    <w:rsid w:val="0005434E"/>
    <w:rsid w:val="000569DE"/>
    <w:rsid w:val="00060B23"/>
    <w:rsid w:val="00061E4E"/>
    <w:rsid w:val="000705C1"/>
    <w:rsid w:val="000724E6"/>
    <w:rsid w:val="000732D4"/>
    <w:rsid w:val="00073455"/>
    <w:rsid w:val="0007399E"/>
    <w:rsid w:val="00080A0B"/>
    <w:rsid w:val="00082878"/>
    <w:rsid w:val="00082F68"/>
    <w:rsid w:val="000830CE"/>
    <w:rsid w:val="00085808"/>
    <w:rsid w:val="000912A5"/>
    <w:rsid w:val="00091C21"/>
    <w:rsid w:val="00093F0E"/>
    <w:rsid w:val="000A2893"/>
    <w:rsid w:val="000A2D8A"/>
    <w:rsid w:val="000A36B5"/>
    <w:rsid w:val="000A6654"/>
    <w:rsid w:val="000A74CA"/>
    <w:rsid w:val="000B1D1E"/>
    <w:rsid w:val="000B4D90"/>
    <w:rsid w:val="000C1404"/>
    <w:rsid w:val="000C2130"/>
    <w:rsid w:val="000D118A"/>
    <w:rsid w:val="000D28DD"/>
    <w:rsid w:val="000D39BA"/>
    <w:rsid w:val="000D3D8C"/>
    <w:rsid w:val="000D4F00"/>
    <w:rsid w:val="000E1579"/>
    <w:rsid w:val="000E2517"/>
    <w:rsid w:val="000E40BF"/>
    <w:rsid w:val="000E4C26"/>
    <w:rsid w:val="000F0309"/>
    <w:rsid w:val="000F0C21"/>
    <w:rsid w:val="000F1CA0"/>
    <w:rsid w:val="000F3884"/>
    <w:rsid w:val="00101BF1"/>
    <w:rsid w:val="00102C90"/>
    <w:rsid w:val="00105E28"/>
    <w:rsid w:val="001074C3"/>
    <w:rsid w:val="00107B35"/>
    <w:rsid w:val="001127C8"/>
    <w:rsid w:val="0011444C"/>
    <w:rsid w:val="001148FD"/>
    <w:rsid w:val="00114A3A"/>
    <w:rsid w:val="00121792"/>
    <w:rsid w:val="00124D09"/>
    <w:rsid w:val="001260BD"/>
    <w:rsid w:val="00130A14"/>
    <w:rsid w:val="00130D20"/>
    <w:rsid w:val="00133325"/>
    <w:rsid w:val="001335A6"/>
    <w:rsid w:val="0013375B"/>
    <w:rsid w:val="00142658"/>
    <w:rsid w:val="001426D3"/>
    <w:rsid w:val="00142E82"/>
    <w:rsid w:val="00145F0C"/>
    <w:rsid w:val="00150C1E"/>
    <w:rsid w:val="00155700"/>
    <w:rsid w:val="001562AB"/>
    <w:rsid w:val="001576F3"/>
    <w:rsid w:val="00163B06"/>
    <w:rsid w:val="00163F47"/>
    <w:rsid w:val="00167516"/>
    <w:rsid w:val="00173FB7"/>
    <w:rsid w:val="00174535"/>
    <w:rsid w:val="00176E75"/>
    <w:rsid w:val="0017700A"/>
    <w:rsid w:val="00177C78"/>
    <w:rsid w:val="00180528"/>
    <w:rsid w:val="00180C0A"/>
    <w:rsid w:val="00186AC0"/>
    <w:rsid w:val="00192A4C"/>
    <w:rsid w:val="00194468"/>
    <w:rsid w:val="001A4018"/>
    <w:rsid w:val="001A4D6B"/>
    <w:rsid w:val="001B0F7A"/>
    <w:rsid w:val="001B1F77"/>
    <w:rsid w:val="001B2DBC"/>
    <w:rsid w:val="001B3DAD"/>
    <w:rsid w:val="001B40E7"/>
    <w:rsid w:val="001C22C1"/>
    <w:rsid w:val="001C3423"/>
    <w:rsid w:val="001C34DE"/>
    <w:rsid w:val="001D514B"/>
    <w:rsid w:val="001E0374"/>
    <w:rsid w:val="001E574F"/>
    <w:rsid w:val="001F0205"/>
    <w:rsid w:val="001F1A1F"/>
    <w:rsid w:val="001F2507"/>
    <w:rsid w:val="00202FCD"/>
    <w:rsid w:val="00204B93"/>
    <w:rsid w:val="00215838"/>
    <w:rsid w:val="00217ADC"/>
    <w:rsid w:val="002303D8"/>
    <w:rsid w:val="00232050"/>
    <w:rsid w:val="00236E9A"/>
    <w:rsid w:val="00237CEB"/>
    <w:rsid w:val="00241892"/>
    <w:rsid w:val="00242626"/>
    <w:rsid w:val="00243E6F"/>
    <w:rsid w:val="00244D86"/>
    <w:rsid w:val="002468E3"/>
    <w:rsid w:val="00262AE5"/>
    <w:rsid w:val="00264228"/>
    <w:rsid w:val="00264A5F"/>
    <w:rsid w:val="00270364"/>
    <w:rsid w:val="00273DBD"/>
    <w:rsid w:val="00293595"/>
    <w:rsid w:val="00294D8B"/>
    <w:rsid w:val="00296E4A"/>
    <w:rsid w:val="002A19EA"/>
    <w:rsid w:val="002A3D21"/>
    <w:rsid w:val="002A4C06"/>
    <w:rsid w:val="002B1A75"/>
    <w:rsid w:val="002B1C96"/>
    <w:rsid w:val="002B58C6"/>
    <w:rsid w:val="002B6183"/>
    <w:rsid w:val="002C16A9"/>
    <w:rsid w:val="002C412D"/>
    <w:rsid w:val="002C6D20"/>
    <w:rsid w:val="002C6F0F"/>
    <w:rsid w:val="002D1C6C"/>
    <w:rsid w:val="002D2EAF"/>
    <w:rsid w:val="002D3BDF"/>
    <w:rsid w:val="002D3EDF"/>
    <w:rsid w:val="002D5B01"/>
    <w:rsid w:val="002D725E"/>
    <w:rsid w:val="002E0706"/>
    <w:rsid w:val="002E3238"/>
    <w:rsid w:val="002E3F5C"/>
    <w:rsid w:val="002E4D06"/>
    <w:rsid w:val="002E59BF"/>
    <w:rsid w:val="002E7362"/>
    <w:rsid w:val="002F0987"/>
    <w:rsid w:val="002F1314"/>
    <w:rsid w:val="002F3B66"/>
    <w:rsid w:val="002F3F87"/>
    <w:rsid w:val="002F3FDE"/>
    <w:rsid w:val="002F5446"/>
    <w:rsid w:val="002F7BF9"/>
    <w:rsid w:val="00313319"/>
    <w:rsid w:val="00313AE3"/>
    <w:rsid w:val="003140CB"/>
    <w:rsid w:val="003141DD"/>
    <w:rsid w:val="00316B3D"/>
    <w:rsid w:val="0032030C"/>
    <w:rsid w:val="003217DC"/>
    <w:rsid w:val="00321D2F"/>
    <w:rsid w:val="00322B84"/>
    <w:rsid w:val="003246C6"/>
    <w:rsid w:val="00325199"/>
    <w:rsid w:val="00325C85"/>
    <w:rsid w:val="00327AE4"/>
    <w:rsid w:val="003322AE"/>
    <w:rsid w:val="00332BE0"/>
    <w:rsid w:val="0033449B"/>
    <w:rsid w:val="003373F2"/>
    <w:rsid w:val="00341898"/>
    <w:rsid w:val="003454D3"/>
    <w:rsid w:val="00347C92"/>
    <w:rsid w:val="00351F9F"/>
    <w:rsid w:val="0035457E"/>
    <w:rsid w:val="003553AC"/>
    <w:rsid w:val="00355EA5"/>
    <w:rsid w:val="003632D2"/>
    <w:rsid w:val="003632E7"/>
    <w:rsid w:val="003707F8"/>
    <w:rsid w:val="00371EF2"/>
    <w:rsid w:val="00375DDB"/>
    <w:rsid w:val="0037605F"/>
    <w:rsid w:val="0038632E"/>
    <w:rsid w:val="003903F9"/>
    <w:rsid w:val="003918A6"/>
    <w:rsid w:val="00395EFD"/>
    <w:rsid w:val="003962D7"/>
    <w:rsid w:val="00397142"/>
    <w:rsid w:val="00397A3C"/>
    <w:rsid w:val="003A486A"/>
    <w:rsid w:val="003A6AF9"/>
    <w:rsid w:val="003A7839"/>
    <w:rsid w:val="003B12E8"/>
    <w:rsid w:val="003B3451"/>
    <w:rsid w:val="003B43E6"/>
    <w:rsid w:val="003B5170"/>
    <w:rsid w:val="003B6EE7"/>
    <w:rsid w:val="003B7A74"/>
    <w:rsid w:val="003C0CBB"/>
    <w:rsid w:val="003C2394"/>
    <w:rsid w:val="003C24EB"/>
    <w:rsid w:val="003C5F10"/>
    <w:rsid w:val="003D0AF6"/>
    <w:rsid w:val="003D5166"/>
    <w:rsid w:val="003D60B0"/>
    <w:rsid w:val="003D6E0F"/>
    <w:rsid w:val="003D7A21"/>
    <w:rsid w:val="003E110C"/>
    <w:rsid w:val="003F03CD"/>
    <w:rsid w:val="003F0EB5"/>
    <w:rsid w:val="003F33A8"/>
    <w:rsid w:val="004068B5"/>
    <w:rsid w:val="00410919"/>
    <w:rsid w:val="00411978"/>
    <w:rsid w:val="004138B8"/>
    <w:rsid w:val="00414BBC"/>
    <w:rsid w:val="004169A7"/>
    <w:rsid w:val="004215FD"/>
    <w:rsid w:val="00422BD5"/>
    <w:rsid w:val="00424EEF"/>
    <w:rsid w:val="00425756"/>
    <w:rsid w:val="00426203"/>
    <w:rsid w:val="00426EAE"/>
    <w:rsid w:val="0043212D"/>
    <w:rsid w:val="00437B36"/>
    <w:rsid w:val="004413F6"/>
    <w:rsid w:val="00441B38"/>
    <w:rsid w:val="00443CF1"/>
    <w:rsid w:val="00444579"/>
    <w:rsid w:val="00445A85"/>
    <w:rsid w:val="004501CA"/>
    <w:rsid w:val="00450AC8"/>
    <w:rsid w:val="0045317F"/>
    <w:rsid w:val="00454575"/>
    <w:rsid w:val="00454677"/>
    <w:rsid w:val="00454E9F"/>
    <w:rsid w:val="0045681A"/>
    <w:rsid w:val="00456898"/>
    <w:rsid w:val="00456B03"/>
    <w:rsid w:val="00465975"/>
    <w:rsid w:val="00465B3C"/>
    <w:rsid w:val="00472CC8"/>
    <w:rsid w:val="0047407C"/>
    <w:rsid w:val="0047717B"/>
    <w:rsid w:val="00481796"/>
    <w:rsid w:val="0048347F"/>
    <w:rsid w:val="004910A6"/>
    <w:rsid w:val="0049116E"/>
    <w:rsid w:val="0049404B"/>
    <w:rsid w:val="00495ED1"/>
    <w:rsid w:val="00497A8F"/>
    <w:rsid w:val="004A1C28"/>
    <w:rsid w:val="004B5188"/>
    <w:rsid w:val="004B665D"/>
    <w:rsid w:val="004B7FF5"/>
    <w:rsid w:val="004C0A91"/>
    <w:rsid w:val="004C6EEF"/>
    <w:rsid w:val="004D1986"/>
    <w:rsid w:val="004D1B9F"/>
    <w:rsid w:val="004E0AEF"/>
    <w:rsid w:val="004E0C2A"/>
    <w:rsid w:val="004E445F"/>
    <w:rsid w:val="004E5945"/>
    <w:rsid w:val="004E7AE0"/>
    <w:rsid w:val="004F00F5"/>
    <w:rsid w:val="004F2487"/>
    <w:rsid w:val="004F41A8"/>
    <w:rsid w:val="004F7AA8"/>
    <w:rsid w:val="0050125C"/>
    <w:rsid w:val="005029E5"/>
    <w:rsid w:val="00511B81"/>
    <w:rsid w:val="00512F7D"/>
    <w:rsid w:val="00521814"/>
    <w:rsid w:val="0052321E"/>
    <w:rsid w:val="00531FEA"/>
    <w:rsid w:val="00540793"/>
    <w:rsid w:val="005422B7"/>
    <w:rsid w:val="00545448"/>
    <w:rsid w:val="00546508"/>
    <w:rsid w:val="00553831"/>
    <w:rsid w:val="00562129"/>
    <w:rsid w:val="0056364E"/>
    <w:rsid w:val="005649C8"/>
    <w:rsid w:val="005674BE"/>
    <w:rsid w:val="00574BA6"/>
    <w:rsid w:val="005803CA"/>
    <w:rsid w:val="005811D3"/>
    <w:rsid w:val="00582AB4"/>
    <w:rsid w:val="00585EAB"/>
    <w:rsid w:val="00585F17"/>
    <w:rsid w:val="00591C53"/>
    <w:rsid w:val="00592F47"/>
    <w:rsid w:val="005940BD"/>
    <w:rsid w:val="00595AB9"/>
    <w:rsid w:val="005976C2"/>
    <w:rsid w:val="005A09FF"/>
    <w:rsid w:val="005A0D27"/>
    <w:rsid w:val="005A4F98"/>
    <w:rsid w:val="005A793E"/>
    <w:rsid w:val="005B26C1"/>
    <w:rsid w:val="005B367C"/>
    <w:rsid w:val="005B428C"/>
    <w:rsid w:val="005C42CA"/>
    <w:rsid w:val="005D3A65"/>
    <w:rsid w:val="005D44F1"/>
    <w:rsid w:val="005D60C4"/>
    <w:rsid w:val="005E0722"/>
    <w:rsid w:val="005E1522"/>
    <w:rsid w:val="005F1912"/>
    <w:rsid w:val="005F1AFF"/>
    <w:rsid w:val="005F23D7"/>
    <w:rsid w:val="005F6B75"/>
    <w:rsid w:val="005F6DD0"/>
    <w:rsid w:val="00604828"/>
    <w:rsid w:val="00607BEC"/>
    <w:rsid w:val="006120FC"/>
    <w:rsid w:val="006130DA"/>
    <w:rsid w:val="0061353D"/>
    <w:rsid w:val="006161EB"/>
    <w:rsid w:val="00622923"/>
    <w:rsid w:val="00622C1C"/>
    <w:rsid w:val="00623E82"/>
    <w:rsid w:val="006256B1"/>
    <w:rsid w:val="00630D0F"/>
    <w:rsid w:val="00631434"/>
    <w:rsid w:val="006351C6"/>
    <w:rsid w:val="00635966"/>
    <w:rsid w:val="00647161"/>
    <w:rsid w:val="00651188"/>
    <w:rsid w:val="00652888"/>
    <w:rsid w:val="00655255"/>
    <w:rsid w:val="006570EE"/>
    <w:rsid w:val="00660055"/>
    <w:rsid w:val="006645F1"/>
    <w:rsid w:val="00667CD8"/>
    <w:rsid w:val="006703EC"/>
    <w:rsid w:val="0067152C"/>
    <w:rsid w:val="00671DB6"/>
    <w:rsid w:val="0067340F"/>
    <w:rsid w:val="00673552"/>
    <w:rsid w:val="00677385"/>
    <w:rsid w:val="00677DEB"/>
    <w:rsid w:val="006806B8"/>
    <w:rsid w:val="006812A5"/>
    <w:rsid w:val="0068336A"/>
    <w:rsid w:val="00685887"/>
    <w:rsid w:val="006859C2"/>
    <w:rsid w:val="00687F0D"/>
    <w:rsid w:val="00687F30"/>
    <w:rsid w:val="0069030A"/>
    <w:rsid w:val="00691481"/>
    <w:rsid w:val="0069481A"/>
    <w:rsid w:val="006A001E"/>
    <w:rsid w:val="006A0238"/>
    <w:rsid w:val="006A1BCD"/>
    <w:rsid w:val="006A6646"/>
    <w:rsid w:val="006B09D9"/>
    <w:rsid w:val="006B0CE0"/>
    <w:rsid w:val="006B5B10"/>
    <w:rsid w:val="006C1CDD"/>
    <w:rsid w:val="006C6C34"/>
    <w:rsid w:val="006C7D13"/>
    <w:rsid w:val="006D402F"/>
    <w:rsid w:val="006D4449"/>
    <w:rsid w:val="006E117D"/>
    <w:rsid w:val="006E1225"/>
    <w:rsid w:val="006E187C"/>
    <w:rsid w:val="006E651E"/>
    <w:rsid w:val="006E798C"/>
    <w:rsid w:val="006F0EAD"/>
    <w:rsid w:val="006F3295"/>
    <w:rsid w:val="006F41D6"/>
    <w:rsid w:val="007064F7"/>
    <w:rsid w:val="00712ACF"/>
    <w:rsid w:val="00714376"/>
    <w:rsid w:val="007157B2"/>
    <w:rsid w:val="00715B6C"/>
    <w:rsid w:val="00723C1D"/>
    <w:rsid w:val="00725D1E"/>
    <w:rsid w:val="0072618F"/>
    <w:rsid w:val="007263E9"/>
    <w:rsid w:val="00726D80"/>
    <w:rsid w:val="007309A5"/>
    <w:rsid w:val="00731A8B"/>
    <w:rsid w:val="007418D3"/>
    <w:rsid w:val="00747AEF"/>
    <w:rsid w:val="00750C06"/>
    <w:rsid w:val="00753DB3"/>
    <w:rsid w:val="007609F3"/>
    <w:rsid w:val="007609FC"/>
    <w:rsid w:val="00764E0B"/>
    <w:rsid w:val="00770605"/>
    <w:rsid w:val="0077079A"/>
    <w:rsid w:val="00776F0F"/>
    <w:rsid w:val="007818AD"/>
    <w:rsid w:val="0078390E"/>
    <w:rsid w:val="007855C4"/>
    <w:rsid w:val="007858BD"/>
    <w:rsid w:val="0078602E"/>
    <w:rsid w:val="00786F2C"/>
    <w:rsid w:val="00787EC0"/>
    <w:rsid w:val="00792605"/>
    <w:rsid w:val="00794A45"/>
    <w:rsid w:val="007955BC"/>
    <w:rsid w:val="007B3A10"/>
    <w:rsid w:val="007B4782"/>
    <w:rsid w:val="007B6AE7"/>
    <w:rsid w:val="007C2A28"/>
    <w:rsid w:val="007C401E"/>
    <w:rsid w:val="007C5BB7"/>
    <w:rsid w:val="007D0724"/>
    <w:rsid w:val="007D390F"/>
    <w:rsid w:val="007D4C69"/>
    <w:rsid w:val="007D4F19"/>
    <w:rsid w:val="007D4F1D"/>
    <w:rsid w:val="007D666C"/>
    <w:rsid w:val="007E022B"/>
    <w:rsid w:val="007E4B32"/>
    <w:rsid w:val="007F14B9"/>
    <w:rsid w:val="007F284B"/>
    <w:rsid w:val="007F61AC"/>
    <w:rsid w:val="008019A1"/>
    <w:rsid w:val="008037E6"/>
    <w:rsid w:val="008051BB"/>
    <w:rsid w:val="00805C56"/>
    <w:rsid w:val="00815232"/>
    <w:rsid w:val="008161E9"/>
    <w:rsid w:val="00816F28"/>
    <w:rsid w:val="008175CE"/>
    <w:rsid w:val="008229D2"/>
    <w:rsid w:val="00831767"/>
    <w:rsid w:val="00833471"/>
    <w:rsid w:val="0083685F"/>
    <w:rsid w:val="00837351"/>
    <w:rsid w:val="00843A94"/>
    <w:rsid w:val="00866395"/>
    <w:rsid w:val="00874D6E"/>
    <w:rsid w:val="008834B3"/>
    <w:rsid w:val="008867AB"/>
    <w:rsid w:val="00892812"/>
    <w:rsid w:val="00892A92"/>
    <w:rsid w:val="00893E0B"/>
    <w:rsid w:val="008951C8"/>
    <w:rsid w:val="008A5212"/>
    <w:rsid w:val="008A6450"/>
    <w:rsid w:val="008B6E38"/>
    <w:rsid w:val="008C0710"/>
    <w:rsid w:val="008C0E89"/>
    <w:rsid w:val="008C60BA"/>
    <w:rsid w:val="008D07AC"/>
    <w:rsid w:val="008D2761"/>
    <w:rsid w:val="008E1427"/>
    <w:rsid w:val="008E1830"/>
    <w:rsid w:val="008E1A6D"/>
    <w:rsid w:val="008E293E"/>
    <w:rsid w:val="008E2A9B"/>
    <w:rsid w:val="008E2C40"/>
    <w:rsid w:val="008E3331"/>
    <w:rsid w:val="008E56B6"/>
    <w:rsid w:val="008E5B78"/>
    <w:rsid w:val="008F2C1D"/>
    <w:rsid w:val="008F3375"/>
    <w:rsid w:val="008F4BA3"/>
    <w:rsid w:val="008F6DD4"/>
    <w:rsid w:val="00910B4F"/>
    <w:rsid w:val="00913549"/>
    <w:rsid w:val="009136E4"/>
    <w:rsid w:val="00915981"/>
    <w:rsid w:val="009220AC"/>
    <w:rsid w:val="00922B6B"/>
    <w:rsid w:val="00924DCC"/>
    <w:rsid w:val="0092572D"/>
    <w:rsid w:val="009274EB"/>
    <w:rsid w:val="00927CE4"/>
    <w:rsid w:val="00933890"/>
    <w:rsid w:val="00935ABC"/>
    <w:rsid w:val="00937B76"/>
    <w:rsid w:val="00940D3D"/>
    <w:rsid w:val="00941BB6"/>
    <w:rsid w:val="009453D8"/>
    <w:rsid w:val="009472CE"/>
    <w:rsid w:val="00950113"/>
    <w:rsid w:val="0095096D"/>
    <w:rsid w:val="0095158E"/>
    <w:rsid w:val="00964DEB"/>
    <w:rsid w:val="009752E3"/>
    <w:rsid w:val="00977952"/>
    <w:rsid w:val="00980476"/>
    <w:rsid w:val="009808DA"/>
    <w:rsid w:val="00981E5A"/>
    <w:rsid w:val="00983F60"/>
    <w:rsid w:val="009852FF"/>
    <w:rsid w:val="00986450"/>
    <w:rsid w:val="00990808"/>
    <w:rsid w:val="00991732"/>
    <w:rsid w:val="0099569C"/>
    <w:rsid w:val="00995C3B"/>
    <w:rsid w:val="009A0307"/>
    <w:rsid w:val="009A15E5"/>
    <w:rsid w:val="009A1982"/>
    <w:rsid w:val="009A4809"/>
    <w:rsid w:val="009A522D"/>
    <w:rsid w:val="009B06CB"/>
    <w:rsid w:val="009B7195"/>
    <w:rsid w:val="009C1806"/>
    <w:rsid w:val="009D08AC"/>
    <w:rsid w:val="009D54E5"/>
    <w:rsid w:val="009D5F54"/>
    <w:rsid w:val="009D6B86"/>
    <w:rsid w:val="009D7319"/>
    <w:rsid w:val="009E07EE"/>
    <w:rsid w:val="009E407B"/>
    <w:rsid w:val="009F4E73"/>
    <w:rsid w:val="009F6897"/>
    <w:rsid w:val="00A14B05"/>
    <w:rsid w:val="00A16B58"/>
    <w:rsid w:val="00A17EE1"/>
    <w:rsid w:val="00A208D5"/>
    <w:rsid w:val="00A22268"/>
    <w:rsid w:val="00A229C1"/>
    <w:rsid w:val="00A23B92"/>
    <w:rsid w:val="00A23DAC"/>
    <w:rsid w:val="00A27F26"/>
    <w:rsid w:val="00A36291"/>
    <w:rsid w:val="00A377CC"/>
    <w:rsid w:val="00A41176"/>
    <w:rsid w:val="00A41538"/>
    <w:rsid w:val="00A42294"/>
    <w:rsid w:val="00A4756C"/>
    <w:rsid w:val="00A5342B"/>
    <w:rsid w:val="00A55BF8"/>
    <w:rsid w:val="00A5681F"/>
    <w:rsid w:val="00A569C5"/>
    <w:rsid w:val="00A63C92"/>
    <w:rsid w:val="00A64E05"/>
    <w:rsid w:val="00A66680"/>
    <w:rsid w:val="00A70A46"/>
    <w:rsid w:val="00A74D3D"/>
    <w:rsid w:val="00A76814"/>
    <w:rsid w:val="00A82A8C"/>
    <w:rsid w:val="00A9109E"/>
    <w:rsid w:val="00A93919"/>
    <w:rsid w:val="00AA0FFB"/>
    <w:rsid w:val="00AA5CE9"/>
    <w:rsid w:val="00AB3C58"/>
    <w:rsid w:val="00AB481B"/>
    <w:rsid w:val="00AB5AFD"/>
    <w:rsid w:val="00AB632B"/>
    <w:rsid w:val="00AC0E56"/>
    <w:rsid w:val="00AC22C0"/>
    <w:rsid w:val="00AC330E"/>
    <w:rsid w:val="00AD05AC"/>
    <w:rsid w:val="00AD39DA"/>
    <w:rsid w:val="00AD5530"/>
    <w:rsid w:val="00AD7B77"/>
    <w:rsid w:val="00AE0770"/>
    <w:rsid w:val="00AE514E"/>
    <w:rsid w:val="00AE71FE"/>
    <w:rsid w:val="00AF3455"/>
    <w:rsid w:val="00AF5070"/>
    <w:rsid w:val="00B001C2"/>
    <w:rsid w:val="00B03A25"/>
    <w:rsid w:val="00B057A4"/>
    <w:rsid w:val="00B070D1"/>
    <w:rsid w:val="00B10EF5"/>
    <w:rsid w:val="00B110F2"/>
    <w:rsid w:val="00B152DC"/>
    <w:rsid w:val="00B167B7"/>
    <w:rsid w:val="00B17391"/>
    <w:rsid w:val="00B2044C"/>
    <w:rsid w:val="00B20C2F"/>
    <w:rsid w:val="00B25B6B"/>
    <w:rsid w:val="00B31D38"/>
    <w:rsid w:val="00B321CF"/>
    <w:rsid w:val="00B337C5"/>
    <w:rsid w:val="00B33963"/>
    <w:rsid w:val="00B35545"/>
    <w:rsid w:val="00B36F0C"/>
    <w:rsid w:val="00B37E23"/>
    <w:rsid w:val="00B41139"/>
    <w:rsid w:val="00B41DC4"/>
    <w:rsid w:val="00B4242C"/>
    <w:rsid w:val="00B426DB"/>
    <w:rsid w:val="00B431DB"/>
    <w:rsid w:val="00B43E27"/>
    <w:rsid w:val="00B51F2A"/>
    <w:rsid w:val="00B54F67"/>
    <w:rsid w:val="00B5578C"/>
    <w:rsid w:val="00B55E2D"/>
    <w:rsid w:val="00B5716A"/>
    <w:rsid w:val="00B60286"/>
    <w:rsid w:val="00B60561"/>
    <w:rsid w:val="00B65BDD"/>
    <w:rsid w:val="00B714EF"/>
    <w:rsid w:val="00B74B88"/>
    <w:rsid w:val="00B80A14"/>
    <w:rsid w:val="00B81BE7"/>
    <w:rsid w:val="00B84F22"/>
    <w:rsid w:val="00B859AF"/>
    <w:rsid w:val="00B87E86"/>
    <w:rsid w:val="00B92255"/>
    <w:rsid w:val="00B9340E"/>
    <w:rsid w:val="00BA13AF"/>
    <w:rsid w:val="00BA1A1D"/>
    <w:rsid w:val="00BA6704"/>
    <w:rsid w:val="00BA7044"/>
    <w:rsid w:val="00BB2611"/>
    <w:rsid w:val="00BB2FAB"/>
    <w:rsid w:val="00BB7138"/>
    <w:rsid w:val="00BC2AE4"/>
    <w:rsid w:val="00BC3C96"/>
    <w:rsid w:val="00BC41F6"/>
    <w:rsid w:val="00BC51A3"/>
    <w:rsid w:val="00BC6F23"/>
    <w:rsid w:val="00BD0048"/>
    <w:rsid w:val="00BD0AE1"/>
    <w:rsid w:val="00BD0CB5"/>
    <w:rsid w:val="00BD78FD"/>
    <w:rsid w:val="00BE3897"/>
    <w:rsid w:val="00BF12F6"/>
    <w:rsid w:val="00BF16B6"/>
    <w:rsid w:val="00BF1A15"/>
    <w:rsid w:val="00BF568A"/>
    <w:rsid w:val="00C020C6"/>
    <w:rsid w:val="00C03651"/>
    <w:rsid w:val="00C04363"/>
    <w:rsid w:val="00C04927"/>
    <w:rsid w:val="00C05462"/>
    <w:rsid w:val="00C06C21"/>
    <w:rsid w:val="00C07862"/>
    <w:rsid w:val="00C11FE9"/>
    <w:rsid w:val="00C14D3F"/>
    <w:rsid w:val="00C17D80"/>
    <w:rsid w:val="00C2237A"/>
    <w:rsid w:val="00C2688C"/>
    <w:rsid w:val="00C2791F"/>
    <w:rsid w:val="00C30738"/>
    <w:rsid w:val="00C31811"/>
    <w:rsid w:val="00C33F53"/>
    <w:rsid w:val="00C362BD"/>
    <w:rsid w:val="00C449FB"/>
    <w:rsid w:val="00C52E95"/>
    <w:rsid w:val="00C57AFD"/>
    <w:rsid w:val="00C615E8"/>
    <w:rsid w:val="00C62F3F"/>
    <w:rsid w:val="00C64604"/>
    <w:rsid w:val="00C73B5D"/>
    <w:rsid w:val="00C73EFC"/>
    <w:rsid w:val="00C75095"/>
    <w:rsid w:val="00C75DC6"/>
    <w:rsid w:val="00C80897"/>
    <w:rsid w:val="00C831F1"/>
    <w:rsid w:val="00C86DF2"/>
    <w:rsid w:val="00C91A36"/>
    <w:rsid w:val="00C91A97"/>
    <w:rsid w:val="00C947FC"/>
    <w:rsid w:val="00CA7A6D"/>
    <w:rsid w:val="00CB09B5"/>
    <w:rsid w:val="00CB3AA6"/>
    <w:rsid w:val="00CB4C69"/>
    <w:rsid w:val="00CB7D8E"/>
    <w:rsid w:val="00CC7F46"/>
    <w:rsid w:val="00CD14BF"/>
    <w:rsid w:val="00CD17D3"/>
    <w:rsid w:val="00CD3E34"/>
    <w:rsid w:val="00CE1D05"/>
    <w:rsid w:val="00CE2C2C"/>
    <w:rsid w:val="00CE3E8C"/>
    <w:rsid w:val="00CE7252"/>
    <w:rsid w:val="00CE7295"/>
    <w:rsid w:val="00CE76EC"/>
    <w:rsid w:val="00CF13CC"/>
    <w:rsid w:val="00CF20C8"/>
    <w:rsid w:val="00CF24D0"/>
    <w:rsid w:val="00CF2DA1"/>
    <w:rsid w:val="00CF3432"/>
    <w:rsid w:val="00CF4F2A"/>
    <w:rsid w:val="00D05ED5"/>
    <w:rsid w:val="00D061C4"/>
    <w:rsid w:val="00D06B1E"/>
    <w:rsid w:val="00D17161"/>
    <w:rsid w:val="00D21246"/>
    <w:rsid w:val="00D21CBB"/>
    <w:rsid w:val="00D23477"/>
    <w:rsid w:val="00D2517F"/>
    <w:rsid w:val="00D30FE8"/>
    <w:rsid w:val="00D33BDF"/>
    <w:rsid w:val="00D33C2B"/>
    <w:rsid w:val="00D4049E"/>
    <w:rsid w:val="00D42C77"/>
    <w:rsid w:val="00D47770"/>
    <w:rsid w:val="00D54D39"/>
    <w:rsid w:val="00D56057"/>
    <w:rsid w:val="00D565B1"/>
    <w:rsid w:val="00D60997"/>
    <w:rsid w:val="00D64908"/>
    <w:rsid w:val="00D67076"/>
    <w:rsid w:val="00D71E2B"/>
    <w:rsid w:val="00D73AA1"/>
    <w:rsid w:val="00D75632"/>
    <w:rsid w:val="00D76244"/>
    <w:rsid w:val="00D770FE"/>
    <w:rsid w:val="00D81830"/>
    <w:rsid w:val="00D818B2"/>
    <w:rsid w:val="00D837D9"/>
    <w:rsid w:val="00D87E4C"/>
    <w:rsid w:val="00D87F31"/>
    <w:rsid w:val="00D91455"/>
    <w:rsid w:val="00D943F9"/>
    <w:rsid w:val="00D9689C"/>
    <w:rsid w:val="00D97118"/>
    <w:rsid w:val="00D97373"/>
    <w:rsid w:val="00DA0EBA"/>
    <w:rsid w:val="00DA4BED"/>
    <w:rsid w:val="00DB2B36"/>
    <w:rsid w:val="00DB4B8F"/>
    <w:rsid w:val="00DB6E10"/>
    <w:rsid w:val="00DB6E65"/>
    <w:rsid w:val="00DC4D49"/>
    <w:rsid w:val="00DC597C"/>
    <w:rsid w:val="00DD5E7D"/>
    <w:rsid w:val="00DE0754"/>
    <w:rsid w:val="00DE12AC"/>
    <w:rsid w:val="00DE47AC"/>
    <w:rsid w:val="00DF4042"/>
    <w:rsid w:val="00DF541A"/>
    <w:rsid w:val="00DF767D"/>
    <w:rsid w:val="00E0331D"/>
    <w:rsid w:val="00E06E11"/>
    <w:rsid w:val="00E23197"/>
    <w:rsid w:val="00E2402F"/>
    <w:rsid w:val="00E2463A"/>
    <w:rsid w:val="00E300FD"/>
    <w:rsid w:val="00E30683"/>
    <w:rsid w:val="00E3220D"/>
    <w:rsid w:val="00E340F5"/>
    <w:rsid w:val="00E34183"/>
    <w:rsid w:val="00E34D1D"/>
    <w:rsid w:val="00E40AF4"/>
    <w:rsid w:val="00E44D1A"/>
    <w:rsid w:val="00E468CF"/>
    <w:rsid w:val="00E524D5"/>
    <w:rsid w:val="00E6305B"/>
    <w:rsid w:val="00E640FE"/>
    <w:rsid w:val="00E6545F"/>
    <w:rsid w:val="00E66328"/>
    <w:rsid w:val="00E67176"/>
    <w:rsid w:val="00E711FA"/>
    <w:rsid w:val="00E738A6"/>
    <w:rsid w:val="00E73A46"/>
    <w:rsid w:val="00E77A07"/>
    <w:rsid w:val="00E80509"/>
    <w:rsid w:val="00E83097"/>
    <w:rsid w:val="00E935F4"/>
    <w:rsid w:val="00E93CE0"/>
    <w:rsid w:val="00E94BC8"/>
    <w:rsid w:val="00EA267D"/>
    <w:rsid w:val="00EA4E6E"/>
    <w:rsid w:val="00EB32DB"/>
    <w:rsid w:val="00EB6DD3"/>
    <w:rsid w:val="00EC22D6"/>
    <w:rsid w:val="00ED78E4"/>
    <w:rsid w:val="00EE7B69"/>
    <w:rsid w:val="00EF1488"/>
    <w:rsid w:val="00EF285E"/>
    <w:rsid w:val="00EF50BA"/>
    <w:rsid w:val="00F01116"/>
    <w:rsid w:val="00F10C80"/>
    <w:rsid w:val="00F12C48"/>
    <w:rsid w:val="00F1662F"/>
    <w:rsid w:val="00F16A5E"/>
    <w:rsid w:val="00F20A08"/>
    <w:rsid w:val="00F20BF5"/>
    <w:rsid w:val="00F21A84"/>
    <w:rsid w:val="00F21FF1"/>
    <w:rsid w:val="00F30541"/>
    <w:rsid w:val="00F31723"/>
    <w:rsid w:val="00F352A7"/>
    <w:rsid w:val="00F36905"/>
    <w:rsid w:val="00F41AEB"/>
    <w:rsid w:val="00F4523C"/>
    <w:rsid w:val="00F4533F"/>
    <w:rsid w:val="00F46254"/>
    <w:rsid w:val="00F50075"/>
    <w:rsid w:val="00F56083"/>
    <w:rsid w:val="00F61FD8"/>
    <w:rsid w:val="00F65841"/>
    <w:rsid w:val="00F6594C"/>
    <w:rsid w:val="00F6615B"/>
    <w:rsid w:val="00F6681D"/>
    <w:rsid w:val="00F67B69"/>
    <w:rsid w:val="00F73AE7"/>
    <w:rsid w:val="00F73E6E"/>
    <w:rsid w:val="00F81E5A"/>
    <w:rsid w:val="00F82F0F"/>
    <w:rsid w:val="00F836DE"/>
    <w:rsid w:val="00F87982"/>
    <w:rsid w:val="00F90138"/>
    <w:rsid w:val="00F93620"/>
    <w:rsid w:val="00F9626D"/>
    <w:rsid w:val="00F96A71"/>
    <w:rsid w:val="00FA27C1"/>
    <w:rsid w:val="00FA3A85"/>
    <w:rsid w:val="00FA4E87"/>
    <w:rsid w:val="00FA6AA9"/>
    <w:rsid w:val="00FB3C30"/>
    <w:rsid w:val="00FB6609"/>
    <w:rsid w:val="00FB6D3E"/>
    <w:rsid w:val="00FC06E7"/>
    <w:rsid w:val="00FC2FF4"/>
    <w:rsid w:val="00FC33CB"/>
    <w:rsid w:val="00FC3CE5"/>
    <w:rsid w:val="00FC3D58"/>
    <w:rsid w:val="00FD0097"/>
    <w:rsid w:val="00FD31FC"/>
    <w:rsid w:val="00FD576E"/>
    <w:rsid w:val="00FE060D"/>
    <w:rsid w:val="00FE3023"/>
    <w:rsid w:val="00FE735E"/>
    <w:rsid w:val="00FF194A"/>
    <w:rsid w:val="00FF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75B"/>
  <w15:chartTrackingRefBased/>
  <w15:docId w15:val="{CD36EC39-E5A7-4597-A1C1-CC3D77408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62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D649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6AC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3F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25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64908"/>
    <w:rPr>
      <w:color w:val="808080"/>
    </w:rPr>
  </w:style>
  <w:style w:type="character" w:customStyle="1" w:styleId="Heading1Char">
    <w:name w:val="Heading 1 Char"/>
    <w:uiPriority w:val="9"/>
    <w:rsid w:val="00D64908"/>
    <w:rPr>
      <w:rFonts w:ascii="Calibri Light" w:eastAsia="SimSun" w:hAnsi="Calibri Light" w:cs="Times New Roman"/>
      <w:color w:val="2E74B5"/>
      <w:sz w:val="32"/>
      <w:szCs w:val="3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649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64908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64908"/>
    <w:pPr>
      <w:jc w:val="center"/>
    </w:pPr>
    <w:rPr>
      <w:i/>
    </w:rPr>
  </w:style>
  <w:style w:type="character" w:customStyle="1" w:styleId="FooterChar">
    <w:name w:val="Footer Char"/>
    <w:link w:val="Footer"/>
    <w:rsid w:val="00D64908"/>
    <w:rPr>
      <w:rFonts w:ascii="Arial" w:eastAsia="SimSun" w:hAnsi="Arial" w:cs="Times New Roman"/>
      <w:b/>
      <w:i/>
      <w:noProof/>
      <w:sz w:val="18"/>
      <w:szCs w:val="20"/>
      <w:lang w:eastAsia="en-US"/>
    </w:rPr>
  </w:style>
  <w:style w:type="character" w:styleId="PageNumber">
    <w:name w:val="page number"/>
    <w:basedOn w:val="DefaultParagraphFont"/>
    <w:rsid w:val="00D64908"/>
  </w:style>
  <w:style w:type="character" w:customStyle="1" w:styleId="Heading1Char1">
    <w:name w:val="Heading 1 Char1"/>
    <w:link w:val="Heading1"/>
    <w:uiPriority w:val="9"/>
    <w:rsid w:val="00D64908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LGTdoc">
    <w:name w:val="LGTdoc_본문"/>
    <w:basedOn w:val="Normal"/>
    <w:rsid w:val="00D64908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B431DB"/>
    <w:pPr>
      <w:ind w:left="720"/>
      <w:contextualSpacing/>
    </w:pPr>
  </w:style>
  <w:style w:type="table" w:styleId="TableGrid">
    <w:name w:val="Table Grid"/>
    <w:basedOn w:val="TableNormal"/>
    <w:uiPriority w:val="39"/>
    <w:rsid w:val="007C4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017C3E"/>
    <w:pPr>
      <w:spacing w:before="120" w:after="120"/>
    </w:pPr>
    <w:rPr>
      <w:b/>
      <w:bCs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F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85F17"/>
    <w:rPr>
      <w:rFonts w:ascii="Segoe UI" w:hAnsi="Segoe UI" w:cs="Segoe UI"/>
      <w:sz w:val="18"/>
      <w:szCs w:val="18"/>
      <w:lang w:val="en-GB" w:eastAsia="en-US"/>
    </w:rPr>
  </w:style>
  <w:style w:type="character" w:customStyle="1" w:styleId="apple-converted-space">
    <w:name w:val="apple-converted-space"/>
    <w:rsid w:val="00022E30"/>
  </w:style>
  <w:style w:type="character" w:styleId="CommentReference">
    <w:name w:val="annotation reference"/>
    <w:uiPriority w:val="99"/>
    <w:semiHidden/>
    <w:unhideWhenUsed/>
    <w:rsid w:val="009159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5981"/>
  </w:style>
  <w:style w:type="character" w:customStyle="1" w:styleId="CommentTextChar">
    <w:name w:val="Comment Text Char"/>
    <w:link w:val="CommentText"/>
    <w:uiPriority w:val="99"/>
    <w:semiHidden/>
    <w:rsid w:val="00915981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598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15981"/>
    <w:rPr>
      <w:rFonts w:ascii="Times New Roman" w:hAnsi="Times New Roman"/>
      <w:b/>
      <w:bCs/>
      <w:lang w:val="en-GB" w:eastAsia="en-US"/>
    </w:rPr>
  </w:style>
  <w:style w:type="paragraph" w:customStyle="1" w:styleId="B1">
    <w:name w:val="B1"/>
    <w:basedOn w:val="List"/>
    <w:link w:val="B1Char1"/>
    <w:rsid w:val="00186AC0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186AC0"/>
    <w:pPr>
      <w:ind w:left="360" w:hanging="360"/>
      <w:contextualSpacing/>
    </w:pPr>
  </w:style>
  <w:style w:type="character" w:customStyle="1" w:styleId="Heading2Char">
    <w:name w:val="Heading 2 Char"/>
    <w:link w:val="Heading2"/>
    <w:uiPriority w:val="9"/>
    <w:rsid w:val="00186AC0"/>
    <w:rPr>
      <w:rFonts w:ascii="Calibri Light" w:eastAsia="SimSun" w:hAnsi="Calibri Light" w:cs="Times New Roman"/>
      <w:b/>
      <w:bCs/>
      <w:i/>
      <w:iCs/>
      <w:sz w:val="28"/>
      <w:szCs w:val="28"/>
      <w:lang w:val="en-GB" w:eastAsia="en-US"/>
    </w:rPr>
  </w:style>
  <w:style w:type="table" w:styleId="GridTable1Light">
    <w:name w:val="Grid Table 1 Light"/>
    <w:basedOn w:val="TableNormal"/>
    <w:uiPriority w:val="46"/>
    <w:rsid w:val="005F6DD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uiPriority w:val="22"/>
    <w:qFormat/>
    <w:rsid w:val="00C06C21"/>
    <w:rPr>
      <w:b/>
      <w:bCs/>
    </w:rPr>
  </w:style>
  <w:style w:type="paragraph" w:customStyle="1" w:styleId="ZT">
    <w:name w:val="ZT"/>
    <w:rsid w:val="00B33963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F82F0F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  <w:lang w:val="en-US"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82F0F"/>
    <w:rPr>
      <w:rFonts w:ascii="Times New Roman" w:eastAsia="MS Mincho" w:hAnsi="Times New Roman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355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5A4F98"/>
    <w:rPr>
      <w:rFonts w:ascii="Times New Roman" w:hAnsi="Times New Roman"/>
      <w:b/>
      <w:bCs/>
      <w:lang w:eastAsia="en-US"/>
    </w:rPr>
  </w:style>
  <w:style w:type="table" w:styleId="ListTable2-Accent5">
    <w:name w:val="List Table 2 Accent 5"/>
    <w:basedOn w:val="TableNormal"/>
    <w:uiPriority w:val="47"/>
    <w:rsid w:val="00DB2B36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1">
    <w:name w:val="Grid Table 1 Light Accent 1"/>
    <w:basedOn w:val="TableNormal"/>
    <w:uiPriority w:val="46"/>
    <w:rsid w:val="00DB2B3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5649C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rsid w:val="00B057A4"/>
    <w:rPr>
      <w:color w:val="0000FF"/>
      <w:u w:val="single"/>
    </w:rPr>
  </w:style>
  <w:style w:type="paragraph" w:customStyle="1" w:styleId="Reference">
    <w:name w:val="Reference"/>
    <w:basedOn w:val="Normal"/>
    <w:qFormat/>
    <w:rsid w:val="00BB7138"/>
    <w:pPr>
      <w:numPr>
        <w:numId w:val="2"/>
      </w:numPr>
      <w:tabs>
        <w:tab w:val="clear" w:pos="567"/>
      </w:tabs>
      <w:overflowPunct/>
      <w:autoSpaceDE/>
      <w:autoSpaceDN/>
      <w:adjustRightInd/>
      <w:spacing w:after="160" w:line="259" w:lineRule="auto"/>
      <w:ind w:left="0" w:firstLine="0"/>
      <w:textAlignment w:val="auto"/>
    </w:pPr>
    <w:rPr>
      <w:rFonts w:ascii="Calibri" w:hAnsi="Calibri"/>
      <w:sz w:val="22"/>
      <w:szCs w:val="22"/>
      <w:lang w:val="en-US" w:eastAsia="zh-CN"/>
    </w:rPr>
  </w:style>
  <w:style w:type="character" w:styleId="SubtleReference">
    <w:name w:val="Subtle Reference"/>
    <w:uiPriority w:val="31"/>
    <w:qFormat/>
    <w:rsid w:val="00980476"/>
    <w:rPr>
      <w:lang w:val="en-US"/>
    </w:rPr>
  </w:style>
  <w:style w:type="table" w:styleId="GridTable5Dark-Accent5">
    <w:name w:val="Grid Table 5 Dark Accent 5"/>
    <w:basedOn w:val="TableNormal"/>
    <w:uiPriority w:val="50"/>
    <w:rsid w:val="00DF404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B2">
    <w:name w:val="B2"/>
    <w:basedOn w:val="List2"/>
    <w:link w:val="B2Char"/>
    <w:rsid w:val="00273DBD"/>
    <w:pPr>
      <w:overflowPunct/>
      <w:autoSpaceDE/>
      <w:autoSpaceDN/>
      <w:adjustRightInd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rsid w:val="00273DBD"/>
    <w:rPr>
      <w:rFonts w:ascii="Times New Roman" w:eastAsia="Malgun Gothic" w:hAnsi="Times New Roman"/>
      <w:lang w:val="en-GB"/>
    </w:rPr>
  </w:style>
  <w:style w:type="character" w:customStyle="1" w:styleId="B2Char">
    <w:name w:val="B2 Char"/>
    <w:link w:val="B2"/>
    <w:locked/>
    <w:rsid w:val="00273DBD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273DBD"/>
    <w:pPr>
      <w:ind w:left="720" w:hanging="360"/>
      <w:contextualSpacing/>
    </w:pPr>
  </w:style>
  <w:style w:type="paragraph" w:customStyle="1" w:styleId="TAL">
    <w:name w:val="TAL"/>
    <w:basedOn w:val="Normal"/>
    <w:link w:val="TALChar"/>
    <w:rsid w:val="006E1225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link w:val="TAHCar"/>
    <w:rsid w:val="006E1225"/>
    <w:rPr>
      <w:b/>
    </w:rPr>
  </w:style>
  <w:style w:type="paragraph" w:customStyle="1" w:styleId="TAC">
    <w:name w:val="TAC"/>
    <w:basedOn w:val="TAL"/>
    <w:link w:val="TACChar"/>
    <w:rsid w:val="006E1225"/>
    <w:pPr>
      <w:jc w:val="center"/>
    </w:pPr>
  </w:style>
  <w:style w:type="paragraph" w:customStyle="1" w:styleId="TH">
    <w:name w:val="TH"/>
    <w:basedOn w:val="Normal"/>
    <w:link w:val="THChar"/>
    <w:rsid w:val="006E1225"/>
    <w:pPr>
      <w:keepNext/>
      <w:keepLines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rsid w:val="006E1225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6E1225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6E1225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locked/>
    <w:rsid w:val="006E1225"/>
    <w:rPr>
      <w:rFonts w:ascii="Arial" w:eastAsia="Times New Roman" w:hAnsi="Arial"/>
      <w:sz w:val="18"/>
      <w:lang w:val="en-GB" w:eastAsia="en-GB"/>
    </w:rPr>
  </w:style>
  <w:style w:type="table" w:styleId="GridTable5Dark-Accent1">
    <w:name w:val="Grid Table 5 Dark Accent 1"/>
    <w:basedOn w:val="TableNormal"/>
    <w:uiPriority w:val="50"/>
    <w:rsid w:val="000732D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3">
    <w:name w:val="Grid Table 3"/>
    <w:basedOn w:val="TableNormal"/>
    <w:uiPriority w:val="48"/>
    <w:rsid w:val="000732D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732D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0732D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PlainTable5">
    <w:name w:val="Plain Table 5"/>
    <w:basedOn w:val="TableNormal"/>
    <w:uiPriority w:val="45"/>
    <w:rsid w:val="000732D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0732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CRCoverPage">
    <w:name w:val="CR Cover Page"/>
    <w:rsid w:val="00D87F31"/>
    <w:pPr>
      <w:spacing w:after="120"/>
    </w:pPr>
    <w:rPr>
      <w:rFonts w:ascii="Arial" w:eastAsia="MS Mincho" w:hAnsi="Arial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3373F2"/>
    <w:rPr>
      <w:rFonts w:asciiTheme="majorHAnsi" w:eastAsiaTheme="majorEastAsia" w:hAnsiTheme="majorHAnsi" w:cstheme="majorBidi"/>
      <w:b/>
      <w:bCs/>
      <w:sz w:val="26"/>
      <w:szCs w:val="26"/>
      <w:lang w:val="en-GB"/>
    </w:rPr>
  </w:style>
  <w:style w:type="paragraph" w:styleId="NoSpacing">
    <w:name w:val="No Spacing"/>
    <w:uiPriority w:val="1"/>
    <w:qFormat/>
    <w:rsid w:val="004E594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01213F"/>
    <w:rPr>
      <w:rFonts w:ascii="Times New Roman" w:hAnsi="Times New Roman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25C"/>
    <w:rPr>
      <w:rFonts w:asciiTheme="majorHAnsi" w:eastAsiaTheme="majorEastAsia" w:hAnsiTheme="majorHAnsi" w:cstheme="majorBidi"/>
      <w:color w:val="2F5496" w:themeColor="accent1" w:themeShade="B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834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9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431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30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200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7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72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2438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1421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515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862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3969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481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0242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389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4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941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279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780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74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471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75527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499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30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4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0541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5518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10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4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3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37585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543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3364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26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1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2922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3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454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88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1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63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27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4719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8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4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791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1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99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7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316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448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43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96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1223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1.bin"/><Relationship Id="rId18" Type="http://schemas.openxmlformats.org/officeDocument/2006/relationships/image" Target="media/image7.wmf"/><Relationship Id="rId26" Type="http://schemas.openxmlformats.org/officeDocument/2006/relationships/image" Target="media/image60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wmf"/><Relationship Id="rId24" Type="http://schemas.openxmlformats.org/officeDocument/2006/relationships/image" Target="media/image50.wmf"/><Relationship Id="rId32" Type="http://schemas.openxmlformats.org/officeDocument/2006/relationships/image" Target="media/image90.w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70.wmf"/><Relationship Id="rId36" Type="http://schemas.openxmlformats.org/officeDocument/2006/relationships/footer" Target="footer2.xml"/><Relationship Id="rId10" Type="http://schemas.openxmlformats.org/officeDocument/2006/relationships/image" Target="media/image20.wmf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8.bin"/><Relationship Id="rId30" Type="http://schemas.openxmlformats.org/officeDocument/2006/relationships/image" Target="media/image80.wmf"/><Relationship Id="rId35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60DD7-78A9-4F1C-A9C7-80016E405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Wei, Chao</dc:creator>
  <cp:keywords/>
  <dc:description/>
  <cp:lastModifiedBy>Qualcomm1</cp:lastModifiedBy>
  <cp:revision>5</cp:revision>
  <dcterms:created xsi:type="dcterms:W3CDTF">2021-08-01T16:02:00Z</dcterms:created>
  <dcterms:modified xsi:type="dcterms:W3CDTF">2021-08-06T19:39:00Z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